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47B2F" w14:textId="52E43781" w:rsidR="00014B23" w:rsidRPr="00987DCE" w:rsidRDefault="00014B23" w:rsidP="00014B23">
      <w:pPr>
        <w:pStyle w:val="2GCTitles"/>
      </w:pPr>
      <w:r w:rsidRPr="00987DCE">
        <w:t>All about your credit report</w:t>
      </w:r>
    </w:p>
    <w:p w14:paraId="4E3691D1" w14:textId="77777777" w:rsidR="00014B23" w:rsidRPr="00987DCE" w:rsidRDefault="00014B23" w:rsidP="00014B23">
      <w:pPr>
        <w:pStyle w:val="3GCSubtitle"/>
        <w:rPr>
          <w:rFonts w:ascii="Arial" w:hAnsi="Arial" w:cs="Arial"/>
          <w:b/>
          <w:bCs w:val="0"/>
          <w:color w:val="29333D"/>
          <w:sz w:val="22"/>
          <w:szCs w:val="22"/>
        </w:rPr>
      </w:pPr>
      <w:r w:rsidRPr="00987DCE">
        <w:rPr>
          <w:rStyle w:val="Strong"/>
          <w:rFonts w:ascii="Arial" w:hAnsi="Arial" w:cs="Arial"/>
          <w:color w:val="29333D"/>
          <w:sz w:val="22"/>
          <w:szCs w:val="22"/>
        </w:rPr>
        <w:t xml:space="preserve">Confused by your credit report? You’re not alone. </w:t>
      </w:r>
      <w:r>
        <w:rPr>
          <w:rStyle w:val="Strong"/>
          <w:rFonts w:ascii="Arial" w:hAnsi="Arial" w:cs="Arial"/>
          <w:color w:val="29333D"/>
          <w:sz w:val="22"/>
          <w:szCs w:val="22"/>
        </w:rPr>
        <w:t xml:space="preserve">In fact, 2019 research by Experian showed that almost half of the UK had never checked their credit score. </w:t>
      </w:r>
      <w:r w:rsidRPr="00987DCE">
        <w:rPr>
          <w:rFonts w:ascii="Arial" w:hAnsi="Arial" w:cs="Arial"/>
          <w:b/>
          <w:bCs w:val="0"/>
          <w:color w:val="29333D"/>
          <w:sz w:val="22"/>
          <w:szCs w:val="22"/>
        </w:rPr>
        <w:t xml:space="preserve">We’ve teamed up with StepChange to explain what your credit report is, how to get it, and why it’s important. </w:t>
      </w:r>
    </w:p>
    <w:p w14:paraId="1E84CD4E" w14:textId="77777777" w:rsidR="00014B23" w:rsidRPr="00987DCE" w:rsidRDefault="00014B23" w:rsidP="00014B23">
      <w:pPr>
        <w:pStyle w:val="3GCSubtitle"/>
      </w:pPr>
      <w:r w:rsidRPr="00987DCE">
        <w:t>What’s a credit report?</w:t>
      </w:r>
    </w:p>
    <w:p w14:paraId="67C4DCA9"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Your credit report is a summary of your financial history provided by a credit reference agency (CRA). They share information about your credit history with lenders, to help them decide whether they should lend money to you.</w:t>
      </w:r>
    </w:p>
    <w:p w14:paraId="0652297F" w14:textId="77777777" w:rsidR="00014B23" w:rsidRPr="00987DCE" w:rsidRDefault="00014B23" w:rsidP="00014B23">
      <w:pPr>
        <w:pStyle w:val="3GCSubtitle"/>
      </w:pPr>
      <w:r w:rsidRPr="00987DCE">
        <w:t>How do I get one?</w:t>
      </w:r>
    </w:p>
    <w:p w14:paraId="190EA868" w14:textId="77777777" w:rsidR="00014B23" w:rsidRPr="00987DCE" w:rsidRDefault="00014B23" w:rsidP="00014B23">
      <w:pPr>
        <w:pStyle w:val="NormalWeb"/>
        <w:shd w:val="clear" w:color="auto" w:fill="FFFFFF"/>
        <w:spacing w:before="150" w:after="300"/>
        <w:rPr>
          <w:sz w:val="20"/>
          <w:szCs w:val="20"/>
        </w:rPr>
      </w:pPr>
      <w:r w:rsidRPr="00987DCE">
        <w:rPr>
          <w:rFonts w:ascii="Arial" w:hAnsi="Arial" w:cs="Arial"/>
          <w:color w:val="29333D"/>
          <w:sz w:val="22"/>
          <w:szCs w:val="22"/>
        </w:rPr>
        <w:t xml:space="preserve">In the UK, there are three main agencies that you can request your credit report from. In no </w:t>
      </w:r>
      <w:proofErr w:type="gramStart"/>
      <w:r w:rsidRPr="00987DCE">
        <w:rPr>
          <w:rFonts w:ascii="Arial" w:hAnsi="Arial" w:cs="Arial"/>
          <w:color w:val="29333D"/>
          <w:sz w:val="22"/>
          <w:szCs w:val="22"/>
        </w:rPr>
        <w:t>particular order</w:t>
      </w:r>
      <w:proofErr w:type="gramEnd"/>
      <w:r w:rsidRPr="00987DCE">
        <w:rPr>
          <w:rFonts w:ascii="Arial" w:hAnsi="Arial" w:cs="Arial"/>
          <w:color w:val="29333D"/>
          <w:sz w:val="22"/>
          <w:szCs w:val="22"/>
        </w:rPr>
        <w:t xml:space="preserve">, these are Experian, Equifax and </w:t>
      </w:r>
      <w:proofErr w:type="spellStart"/>
      <w:r w:rsidRPr="00987DCE">
        <w:rPr>
          <w:rFonts w:ascii="Arial" w:hAnsi="Arial" w:cs="Arial"/>
          <w:color w:val="29333D"/>
          <w:sz w:val="22"/>
          <w:szCs w:val="22"/>
        </w:rPr>
        <w:t>Callcredit</w:t>
      </w:r>
      <w:proofErr w:type="spellEnd"/>
      <w:r w:rsidRPr="00987DCE">
        <w:rPr>
          <w:rFonts w:ascii="Arial" w:hAnsi="Arial" w:cs="Arial"/>
          <w:color w:val="29333D"/>
          <w:sz w:val="22"/>
          <w:szCs w:val="22"/>
        </w:rPr>
        <w:t>.</w:t>
      </w:r>
      <w:r>
        <w:rPr>
          <w:sz w:val="20"/>
          <w:szCs w:val="20"/>
        </w:rPr>
        <w:t xml:space="preserve"> </w:t>
      </w:r>
      <w:r w:rsidRPr="00987DCE">
        <w:rPr>
          <w:rFonts w:ascii="Arial" w:hAnsi="Arial" w:cs="Arial"/>
          <w:color w:val="29333D"/>
          <w:sz w:val="22"/>
          <w:szCs w:val="22"/>
        </w:rPr>
        <w:t xml:space="preserve">You’re legally entitled to a copy of your full credit report from each agency. It costs £2 where it is not given free of charge. The reports can sometimes differ between agencies. This means that if you want to get a full picture, it’s a good idea to ask for a report from all three. </w:t>
      </w:r>
    </w:p>
    <w:p w14:paraId="625F6B41" w14:textId="77777777" w:rsidR="00014B23" w:rsidRPr="00987DCE" w:rsidRDefault="00014B23" w:rsidP="00014B23">
      <w:pPr>
        <w:pStyle w:val="3GCSubtitle"/>
      </w:pPr>
      <w:r w:rsidRPr="00987DCE">
        <w:t>What’s on my credit report?</w:t>
      </w:r>
    </w:p>
    <w:p w14:paraId="01A295C7"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 xml:space="preserve">As well as your name, address, date of birth and electoral roll details, your credit report includes any previous names and addresses. It also includes ‘associations’, which are financial links with other people, such as joint accounts. </w:t>
      </w:r>
    </w:p>
    <w:p w14:paraId="55589BC1"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Your credit report contains details of any debts you might have. This includes loans, overdrafts, credit cards, some utility bills, mortgages, secured loans and hire purchase agreements (</w:t>
      </w:r>
      <w:proofErr w:type="spellStart"/>
      <w:proofErr w:type="gramStart"/>
      <w:r w:rsidRPr="00987DCE">
        <w:rPr>
          <w:rFonts w:ascii="Arial" w:hAnsi="Arial" w:cs="Arial"/>
          <w:color w:val="29333D"/>
          <w:sz w:val="22"/>
          <w:szCs w:val="22"/>
        </w:rPr>
        <w:t>eg</w:t>
      </w:r>
      <w:proofErr w:type="spellEnd"/>
      <w:proofErr w:type="gramEnd"/>
      <w:r w:rsidRPr="00987DCE">
        <w:rPr>
          <w:rFonts w:ascii="Arial" w:hAnsi="Arial" w:cs="Arial"/>
          <w:color w:val="29333D"/>
          <w:sz w:val="22"/>
          <w:szCs w:val="22"/>
        </w:rPr>
        <w:t xml:space="preserve"> for a car or household goods). </w:t>
      </w:r>
    </w:p>
    <w:p w14:paraId="435C1840"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 xml:space="preserve">It also contains information supplied by the Insolvency service and Registry trust. This will show whether you’re subject to any forms of insolvency like bankruptcy or an IVA in England, </w:t>
      </w:r>
      <w:proofErr w:type="gramStart"/>
      <w:r w:rsidRPr="00987DCE">
        <w:rPr>
          <w:rFonts w:ascii="Arial" w:hAnsi="Arial" w:cs="Arial"/>
          <w:color w:val="29333D"/>
          <w:sz w:val="22"/>
          <w:szCs w:val="22"/>
        </w:rPr>
        <w:t>Wales</w:t>
      </w:r>
      <w:proofErr w:type="gramEnd"/>
      <w:r w:rsidRPr="00987DCE">
        <w:rPr>
          <w:rFonts w:ascii="Arial" w:hAnsi="Arial" w:cs="Arial"/>
          <w:color w:val="29333D"/>
          <w:sz w:val="22"/>
          <w:szCs w:val="22"/>
        </w:rPr>
        <w:t xml:space="preserve"> or Northern Ireland. If you live in Scotland, it will show if you’re subject to a trust deed or bankruptcy, including LILA (now discontinued) or MAP. </w:t>
      </w:r>
    </w:p>
    <w:p w14:paraId="3F1B2C16"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5078D8">
        <w:rPr>
          <w:noProof/>
        </w:rPr>
        <w:lastRenderedPageBreak/>
        <w:drawing>
          <wp:anchor distT="0" distB="0" distL="114300" distR="114300" simplePos="0" relativeHeight="251659264" behindDoc="1" locked="0" layoutInCell="1" allowOverlap="1" wp14:anchorId="6643D1B8" wp14:editId="52D15FAD">
            <wp:simplePos x="0" y="0"/>
            <wp:positionH relativeFrom="column">
              <wp:posOffset>4584383</wp:posOffset>
            </wp:positionH>
            <wp:positionV relativeFrom="paragraph">
              <wp:posOffset>-300673</wp:posOffset>
            </wp:positionV>
            <wp:extent cx="1833245" cy="1833245"/>
            <wp:effectExtent l="0" t="0" r="0" b="0"/>
            <wp:wrapTight wrapText="bothSides">
              <wp:wrapPolygon edited="0">
                <wp:start x="7631" y="1571"/>
                <wp:lineTo x="7631" y="5611"/>
                <wp:lineTo x="2693" y="7183"/>
                <wp:lineTo x="2693" y="9203"/>
                <wp:lineTo x="1796" y="9203"/>
                <wp:lineTo x="1122" y="9427"/>
                <wp:lineTo x="2020" y="12794"/>
                <wp:lineTo x="2020" y="19752"/>
                <wp:lineTo x="19528" y="19752"/>
                <wp:lineTo x="19528" y="12794"/>
                <wp:lineTo x="20425" y="9876"/>
                <wp:lineTo x="19752" y="9203"/>
                <wp:lineTo x="16161" y="9203"/>
                <wp:lineTo x="15936" y="7631"/>
                <wp:lineTo x="15038" y="5611"/>
                <wp:lineTo x="15263" y="4265"/>
                <wp:lineTo x="12345" y="2469"/>
                <wp:lineTo x="8978" y="1571"/>
                <wp:lineTo x="7631" y="1571"/>
              </wp:wrapPolygon>
            </wp:wrapTight>
            <wp:docPr id="10" name="Picture 9">
              <a:extLst xmlns:a="http://schemas.openxmlformats.org/drawingml/2006/main">
                <a:ext uri="{FF2B5EF4-FFF2-40B4-BE49-F238E27FC236}">
                  <a16:creationId xmlns:a16="http://schemas.microsoft.com/office/drawing/2014/main" id="{B5796376-E35B-F14B-825D-853D5C294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B5796376-E35B-F14B-825D-853D5C294344}"/>
                        </a:ext>
                      </a:extLst>
                    </pic:cNvPr>
                    <pic:cNvPicPr>
                      <a:picLocks noChangeAspect="1"/>
                    </pic:cNvPicPr>
                  </pic:nvPicPr>
                  <pic:blipFill>
                    <a:blip r:embed="rId8"/>
                    <a:stretch>
                      <a:fillRect/>
                    </a:stretch>
                  </pic:blipFill>
                  <pic:spPr>
                    <a:xfrm>
                      <a:off x="0" y="0"/>
                      <a:ext cx="1833245" cy="1833245"/>
                    </a:xfrm>
                    <a:prstGeom prst="rect">
                      <a:avLst/>
                    </a:prstGeom>
                  </pic:spPr>
                </pic:pic>
              </a:graphicData>
            </a:graphic>
            <wp14:sizeRelH relativeFrom="page">
              <wp14:pctWidth>0</wp14:pctWidth>
            </wp14:sizeRelH>
            <wp14:sizeRelV relativeFrom="page">
              <wp14:pctHeight>0</wp14:pctHeight>
            </wp14:sizeRelV>
          </wp:anchor>
        </w:drawing>
      </w:r>
      <w:r w:rsidRPr="00987DCE">
        <w:rPr>
          <w:rFonts w:ascii="Arial" w:hAnsi="Arial" w:cs="Arial"/>
          <w:color w:val="29333D"/>
          <w:sz w:val="22"/>
          <w:szCs w:val="22"/>
        </w:rPr>
        <w:t xml:space="preserve">In all countries, any bankruptcy restriction orders or undertakings </w:t>
      </w:r>
      <w:r>
        <w:rPr>
          <w:rFonts w:ascii="Arial" w:hAnsi="Arial" w:cs="Arial"/>
          <w:color w:val="29333D"/>
          <w:sz w:val="22"/>
          <w:szCs w:val="22"/>
        </w:rPr>
        <w:br/>
      </w:r>
      <w:r>
        <w:rPr>
          <w:rFonts w:ascii="Arial" w:hAnsi="Arial" w:cs="Arial"/>
          <w:color w:val="29333D"/>
          <w:sz w:val="22"/>
          <w:szCs w:val="22"/>
        </w:rPr>
        <w:br/>
      </w:r>
      <w:r w:rsidRPr="00987DCE">
        <w:rPr>
          <w:rFonts w:ascii="Arial" w:hAnsi="Arial" w:cs="Arial"/>
          <w:color w:val="29333D"/>
          <w:sz w:val="22"/>
          <w:szCs w:val="22"/>
        </w:rPr>
        <w:t xml:space="preserve">will also be shown. Any court judgments, where a lender or other organisation has taken you to court, will also show on your credit </w:t>
      </w:r>
      <w:r>
        <w:rPr>
          <w:rFonts w:ascii="Arial" w:hAnsi="Arial" w:cs="Arial"/>
          <w:color w:val="29333D"/>
          <w:sz w:val="22"/>
          <w:szCs w:val="22"/>
        </w:rPr>
        <w:br/>
      </w:r>
      <w:r w:rsidRPr="00987DCE">
        <w:rPr>
          <w:rFonts w:ascii="Arial" w:hAnsi="Arial" w:cs="Arial"/>
          <w:color w:val="29333D"/>
          <w:sz w:val="22"/>
          <w:szCs w:val="22"/>
        </w:rPr>
        <w:t xml:space="preserve">report. </w:t>
      </w:r>
    </w:p>
    <w:p w14:paraId="107723DC" w14:textId="77777777" w:rsidR="00014B23" w:rsidRPr="00987DCE" w:rsidRDefault="00014B23" w:rsidP="00014B23">
      <w:pPr>
        <w:pStyle w:val="NormalWeb"/>
        <w:shd w:val="clear" w:color="auto" w:fill="FFFFFF"/>
        <w:spacing w:before="150" w:after="300"/>
        <w:rPr>
          <w:sz w:val="20"/>
          <w:szCs w:val="20"/>
        </w:rPr>
      </w:pPr>
      <w:r w:rsidRPr="00987DCE">
        <w:rPr>
          <w:rFonts w:ascii="Arial" w:hAnsi="Arial" w:cs="Arial"/>
          <w:color w:val="29333D"/>
          <w:sz w:val="22"/>
          <w:szCs w:val="22"/>
        </w:rPr>
        <w:t>These include CCJs in England and Wales, decrees in Scotland, or</w:t>
      </w:r>
      <w:r>
        <w:rPr>
          <w:rFonts w:ascii="Arial" w:hAnsi="Arial" w:cs="Arial"/>
          <w:color w:val="29333D"/>
          <w:sz w:val="22"/>
          <w:szCs w:val="22"/>
        </w:rPr>
        <w:br/>
      </w:r>
      <w:r w:rsidRPr="00987DCE">
        <w:rPr>
          <w:rFonts w:ascii="Arial" w:hAnsi="Arial" w:cs="Arial"/>
          <w:color w:val="29333D"/>
          <w:sz w:val="22"/>
          <w:szCs w:val="22"/>
        </w:rPr>
        <w:t xml:space="preserve">Money Judgements in Northern Ireland. In England and Wales these </w:t>
      </w:r>
      <w:r>
        <w:rPr>
          <w:rFonts w:ascii="Arial" w:hAnsi="Arial" w:cs="Arial"/>
          <w:color w:val="29333D"/>
          <w:sz w:val="22"/>
          <w:szCs w:val="22"/>
        </w:rPr>
        <w:br/>
      </w:r>
      <w:r w:rsidRPr="00987DCE">
        <w:rPr>
          <w:rFonts w:ascii="Arial" w:hAnsi="Arial" w:cs="Arial"/>
          <w:color w:val="29333D"/>
          <w:sz w:val="22"/>
          <w:szCs w:val="22"/>
        </w:rPr>
        <w:t xml:space="preserve">can also include magistrates’ financial penalties – but only if the court has ordered this because payments have not been made. </w:t>
      </w:r>
    </w:p>
    <w:p w14:paraId="45A7568F" w14:textId="77777777" w:rsidR="00014B23" w:rsidRPr="00987DCE" w:rsidRDefault="00014B23" w:rsidP="00014B23">
      <w:pPr>
        <w:pStyle w:val="3GCSubtitle"/>
      </w:pPr>
      <w:r w:rsidRPr="00987DCE">
        <w:t>What does my credit report mean?</w:t>
      </w:r>
    </w:p>
    <w:p w14:paraId="3FB08929" w14:textId="77777777" w:rsidR="00014B23" w:rsidRPr="00987DCE" w:rsidRDefault="00014B23" w:rsidP="00014B23">
      <w:pPr>
        <w:rPr>
          <w:rFonts w:cs="Arial"/>
          <w:color w:val="29333D"/>
          <w:szCs w:val="22"/>
        </w:rPr>
      </w:pPr>
      <w:r w:rsidRPr="00987DCE">
        <w:rPr>
          <w:szCs w:val="22"/>
        </w:rPr>
        <w:t xml:space="preserve">Your credit report will show some of (or all) the following information for each debt: </w:t>
      </w:r>
    </w:p>
    <w:p w14:paraId="728AC23B" w14:textId="77777777" w:rsidR="00014B23" w:rsidRPr="00987DCE" w:rsidRDefault="00014B23" w:rsidP="00014B23">
      <w:pPr>
        <w:numPr>
          <w:ilvl w:val="0"/>
          <w:numId w:val="6"/>
        </w:numPr>
        <w:shd w:val="clear" w:color="auto" w:fill="FFFFFF"/>
        <w:spacing w:after="75" w:line="240" w:lineRule="auto"/>
        <w:rPr>
          <w:rFonts w:eastAsia="Times New Roman" w:cs="Arial"/>
          <w:color w:val="29333D"/>
          <w:szCs w:val="22"/>
          <w:lang w:eastAsia="en-GB"/>
        </w:rPr>
      </w:pPr>
      <w:r w:rsidRPr="00987DCE">
        <w:rPr>
          <w:rFonts w:eastAsia="Times New Roman" w:cs="Arial"/>
          <w:color w:val="29333D"/>
          <w:szCs w:val="22"/>
          <w:lang w:eastAsia="en-GB"/>
        </w:rPr>
        <w:t>If the account is still active, or closed</w:t>
      </w:r>
    </w:p>
    <w:p w14:paraId="504A578E" w14:textId="77777777" w:rsidR="00014B23" w:rsidRPr="00987DCE" w:rsidRDefault="00014B23" w:rsidP="00014B23">
      <w:pPr>
        <w:numPr>
          <w:ilvl w:val="0"/>
          <w:numId w:val="6"/>
        </w:numPr>
        <w:shd w:val="clear" w:color="auto" w:fill="FFFFFF"/>
        <w:spacing w:after="0" w:line="240" w:lineRule="auto"/>
        <w:rPr>
          <w:rFonts w:eastAsia="Times New Roman" w:cs="Arial"/>
          <w:color w:val="29333D"/>
          <w:szCs w:val="22"/>
          <w:lang w:eastAsia="en-GB"/>
        </w:rPr>
      </w:pPr>
      <w:r w:rsidRPr="00987DCE">
        <w:rPr>
          <w:szCs w:val="22"/>
        </w:rPr>
        <w:t xml:space="preserve">If there are any </w:t>
      </w:r>
      <w:hyperlink r:id="rId9" w:history="1">
        <w:r w:rsidRPr="00987DCE">
          <w:rPr>
            <w:rFonts w:eastAsia="Times New Roman" w:cs="Arial"/>
            <w:color w:val="29333D"/>
            <w:szCs w:val="22"/>
            <w:lang w:eastAsia="en-GB"/>
          </w:rPr>
          <w:t>‘</w:t>
        </w:r>
        <w:r w:rsidRPr="00987DCE">
          <w:rPr>
            <w:rFonts w:eastAsia="Times New Roman" w:cs="Arial"/>
            <w:color w:val="29333D"/>
            <w:szCs w:val="22"/>
            <w:u w:val="single"/>
            <w:lang w:eastAsia="en-GB"/>
          </w:rPr>
          <w:t>defaults</w:t>
        </w:r>
        <w:r w:rsidRPr="00987DCE">
          <w:rPr>
            <w:rFonts w:eastAsia="Times New Roman" w:cs="Arial"/>
            <w:color w:val="29333D"/>
            <w:szCs w:val="22"/>
            <w:lang w:eastAsia="en-GB"/>
          </w:rPr>
          <w:t>’ </w:t>
        </w:r>
      </w:hyperlink>
      <w:r w:rsidRPr="00987DCE">
        <w:rPr>
          <w:rFonts w:eastAsia="Times New Roman" w:cs="Arial"/>
          <w:color w:val="29333D"/>
          <w:szCs w:val="22"/>
          <w:lang w:eastAsia="en-GB"/>
        </w:rPr>
        <w:t>on your accounts</w:t>
      </w:r>
    </w:p>
    <w:p w14:paraId="4F0DC1D2" w14:textId="77777777" w:rsidR="00014B23" w:rsidRPr="00987DCE" w:rsidRDefault="00014B23" w:rsidP="00014B23">
      <w:pPr>
        <w:numPr>
          <w:ilvl w:val="0"/>
          <w:numId w:val="6"/>
        </w:numPr>
        <w:shd w:val="clear" w:color="auto" w:fill="FFFFFF"/>
        <w:spacing w:before="75" w:after="75" w:line="240" w:lineRule="auto"/>
        <w:rPr>
          <w:rFonts w:eastAsia="Times New Roman" w:cs="Arial"/>
          <w:color w:val="29333D"/>
          <w:szCs w:val="22"/>
          <w:lang w:eastAsia="en-GB"/>
        </w:rPr>
      </w:pPr>
      <w:r w:rsidRPr="00987DCE">
        <w:rPr>
          <w:rFonts w:eastAsia="Times New Roman" w:cs="Arial"/>
          <w:color w:val="29333D"/>
          <w:szCs w:val="22"/>
          <w:lang w:eastAsia="en-GB"/>
        </w:rPr>
        <w:t xml:space="preserve">If payments are </w:t>
      </w:r>
      <w:proofErr w:type="gramStart"/>
      <w:r w:rsidRPr="00987DCE">
        <w:rPr>
          <w:rFonts w:eastAsia="Times New Roman" w:cs="Arial"/>
          <w:color w:val="29333D"/>
          <w:szCs w:val="22"/>
          <w:lang w:eastAsia="en-GB"/>
        </w:rPr>
        <w:t>up-to-date</w:t>
      </w:r>
      <w:proofErr w:type="gramEnd"/>
    </w:p>
    <w:p w14:paraId="5DD169F5" w14:textId="77777777" w:rsidR="00014B23" w:rsidRPr="00987DCE" w:rsidRDefault="00014B23" w:rsidP="00014B23">
      <w:pPr>
        <w:numPr>
          <w:ilvl w:val="0"/>
          <w:numId w:val="6"/>
        </w:numPr>
        <w:shd w:val="clear" w:color="auto" w:fill="FFFFFF"/>
        <w:spacing w:before="75" w:after="75" w:line="240" w:lineRule="auto"/>
        <w:rPr>
          <w:rFonts w:eastAsia="Times New Roman" w:cs="Arial"/>
          <w:color w:val="29333D"/>
          <w:szCs w:val="22"/>
          <w:lang w:eastAsia="en-GB"/>
        </w:rPr>
      </w:pPr>
      <w:r w:rsidRPr="00987DCE">
        <w:rPr>
          <w:rFonts w:eastAsia="Times New Roman" w:cs="Arial"/>
          <w:color w:val="29333D"/>
          <w:szCs w:val="22"/>
          <w:lang w:eastAsia="en-GB"/>
        </w:rPr>
        <w:t>Current balances owed and the credit limit</w:t>
      </w:r>
    </w:p>
    <w:p w14:paraId="45DABF95" w14:textId="77777777" w:rsidR="00014B23" w:rsidRPr="00987DCE" w:rsidRDefault="00014B23" w:rsidP="00014B23">
      <w:pPr>
        <w:numPr>
          <w:ilvl w:val="0"/>
          <w:numId w:val="6"/>
        </w:numPr>
        <w:shd w:val="clear" w:color="auto" w:fill="FFFFFF"/>
        <w:spacing w:before="75" w:after="75" w:line="240" w:lineRule="auto"/>
        <w:rPr>
          <w:rFonts w:eastAsia="Times New Roman" w:cs="Arial"/>
          <w:color w:val="29333D"/>
          <w:szCs w:val="22"/>
          <w:lang w:eastAsia="en-GB"/>
        </w:rPr>
      </w:pPr>
      <w:r w:rsidRPr="00987DCE">
        <w:rPr>
          <w:rFonts w:eastAsia="Times New Roman" w:cs="Arial"/>
          <w:color w:val="29333D"/>
          <w:szCs w:val="22"/>
          <w:lang w:eastAsia="en-GB"/>
        </w:rPr>
        <w:t>If the debt has been passed to a debt collection agency</w:t>
      </w:r>
    </w:p>
    <w:p w14:paraId="73F4A053" w14:textId="77777777" w:rsidR="00014B23" w:rsidRPr="00987DCE" w:rsidRDefault="00014B23" w:rsidP="00014B23">
      <w:pPr>
        <w:numPr>
          <w:ilvl w:val="0"/>
          <w:numId w:val="6"/>
        </w:numPr>
        <w:shd w:val="clear" w:color="auto" w:fill="FFFFFF"/>
        <w:spacing w:before="75" w:after="75" w:line="240" w:lineRule="auto"/>
        <w:rPr>
          <w:rFonts w:eastAsia="Times New Roman" w:cs="Arial"/>
          <w:color w:val="29333D"/>
          <w:szCs w:val="22"/>
          <w:lang w:eastAsia="en-GB"/>
        </w:rPr>
      </w:pPr>
      <w:r w:rsidRPr="00987DCE">
        <w:rPr>
          <w:rFonts w:eastAsia="Times New Roman" w:cs="Arial"/>
          <w:color w:val="29333D"/>
          <w:szCs w:val="22"/>
          <w:lang w:eastAsia="en-GB"/>
        </w:rPr>
        <w:t>If reduced payments are being made</w:t>
      </w:r>
    </w:p>
    <w:p w14:paraId="0AB79142" w14:textId="77777777" w:rsidR="00014B23" w:rsidRPr="00987DCE" w:rsidRDefault="00014B23" w:rsidP="00014B23">
      <w:pPr>
        <w:numPr>
          <w:ilvl w:val="0"/>
          <w:numId w:val="6"/>
        </w:numPr>
        <w:shd w:val="clear" w:color="auto" w:fill="FFFFFF"/>
        <w:spacing w:before="75" w:after="75" w:line="240" w:lineRule="auto"/>
        <w:rPr>
          <w:rFonts w:eastAsia="Times New Roman" w:cs="Arial"/>
          <w:color w:val="29333D"/>
          <w:szCs w:val="22"/>
          <w:lang w:eastAsia="en-GB"/>
        </w:rPr>
      </w:pPr>
      <w:r w:rsidRPr="00987DCE">
        <w:rPr>
          <w:rFonts w:eastAsia="Times New Roman" w:cs="Arial"/>
          <w:color w:val="29333D"/>
          <w:szCs w:val="22"/>
          <w:lang w:eastAsia="en-GB"/>
        </w:rPr>
        <w:t>If you were ever registered as ‘gone away’</w:t>
      </w:r>
    </w:p>
    <w:p w14:paraId="3F4C4341" w14:textId="77777777" w:rsidR="00014B23" w:rsidRPr="00987DCE" w:rsidRDefault="00014B23" w:rsidP="00014B23">
      <w:pPr>
        <w:numPr>
          <w:ilvl w:val="0"/>
          <w:numId w:val="6"/>
        </w:numPr>
        <w:shd w:val="clear" w:color="auto" w:fill="FFFFFF"/>
        <w:spacing w:before="75" w:after="75" w:line="240" w:lineRule="auto"/>
        <w:rPr>
          <w:rFonts w:eastAsia="Times New Roman" w:cs="Arial"/>
          <w:color w:val="29333D"/>
          <w:szCs w:val="22"/>
          <w:lang w:eastAsia="en-GB"/>
        </w:rPr>
      </w:pPr>
      <w:r w:rsidRPr="00987DCE">
        <w:rPr>
          <w:rFonts w:eastAsia="Times New Roman" w:cs="Arial"/>
          <w:color w:val="29333D"/>
          <w:szCs w:val="22"/>
          <w:lang w:eastAsia="en-GB"/>
        </w:rPr>
        <w:t>Details of accounts in ‘dispute’</w:t>
      </w:r>
    </w:p>
    <w:p w14:paraId="6BBCE9E1" w14:textId="77777777" w:rsidR="00014B23" w:rsidRPr="00987DCE" w:rsidRDefault="00014B23" w:rsidP="00014B23">
      <w:pPr>
        <w:numPr>
          <w:ilvl w:val="0"/>
          <w:numId w:val="6"/>
        </w:numPr>
        <w:shd w:val="clear" w:color="auto" w:fill="FFFFFF"/>
        <w:spacing w:before="75" w:after="0" w:line="240" w:lineRule="auto"/>
        <w:rPr>
          <w:rFonts w:eastAsia="Times New Roman" w:cs="Arial"/>
          <w:color w:val="29333D"/>
          <w:szCs w:val="22"/>
          <w:lang w:eastAsia="en-GB"/>
        </w:rPr>
      </w:pPr>
      <w:r w:rsidRPr="00987DCE">
        <w:rPr>
          <w:rFonts w:eastAsia="Times New Roman" w:cs="Arial"/>
          <w:color w:val="29333D"/>
          <w:szCs w:val="22"/>
          <w:lang w:eastAsia="en-GB"/>
        </w:rPr>
        <w:t>If you’ve withdrawn cash on a credit card</w:t>
      </w:r>
    </w:p>
    <w:p w14:paraId="496551B3"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For closed accounts, it will show whether the debt is:</w:t>
      </w:r>
    </w:p>
    <w:p w14:paraId="4EFC2EB2" w14:textId="77777777" w:rsidR="00014B23" w:rsidRPr="00987DCE" w:rsidRDefault="00014B23" w:rsidP="00014B23">
      <w:pPr>
        <w:numPr>
          <w:ilvl w:val="0"/>
          <w:numId w:val="7"/>
        </w:numPr>
        <w:shd w:val="clear" w:color="auto" w:fill="FFFFFF"/>
        <w:spacing w:after="75" w:line="240" w:lineRule="auto"/>
        <w:rPr>
          <w:rFonts w:eastAsia="Times New Roman" w:cs="Arial"/>
          <w:color w:val="29333D"/>
          <w:szCs w:val="22"/>
          <w:lang w:eastAsia="en-GB"/>
        </w:rPr>
      </w:pPr>
      <w:r w:rsidRPr="00987DCE">
        <w:rPr>
          <w:rFonts w:eastAsia="Times New Roman" w:cs="Arial"/>
          <w:color w:val="29333D"/>
          <w:szCs w:val="22"/>
          <w:lang w:eastAsia="en-GB"/>
        </w:rPr>
        <w:t>Settled – the debt was paid in full and never defaulted</w:t>
      </w:r>
    </w:p>
    <w:p w14:paraId="3B98475E" w14:textId="77777777" w:rsidR="00014B23" w:rsidRPr="00987DCE" w:rsidRDefault="00014B23" w:rsidP="00014B23">
      <w:pPr>
        <w:numPr>
          <w:ilvl w:val="0"/>
          <w:numId w:val="7"/>
        </w:numPr>
        <w:shd w:val="clear" w:color="auto" w:fill="FFFFFF"/>
        <w:spacing w:before="75" w:after="75" w:line="240" w:lineRule="auto"/>
        <w:rPr>
          <w:rFonts w:eastAsia="Times New Roman" w:cs="Arial"/>
          <w:color w:val="29333D"/>
          <w:szCs w:val="22"/>
          <w:lang w:eastAsia="en-GB"/>
        </w:rPr>
      </w:pPr>
      <w:r w:rsidRPr="00987DCE">
        <w:rPr>
          <w:rFonts w:eastAsia="Times New Roman" w:cs="Arial"/>
          <w:color w:val="29333D"/>
          <w:szCs w:val="22"/>
          <w:lang w:eastAsia="en-GB"/>
        </w:rPr>
        <w:t>Partially settled – the lender accepted a reduced amount to settle the debt</w:t>
      </w:r>
    </w:p>
    <w:p w14:paraId="5BF6BFC8" w14:textId="77777777" w:rsidR="00014B23" w:rsidRPr="00987DCE" w:rsidRDefault="00014B23" w:rsidP="00014B23">
      <w:pPr>
        <w:numPr>
          <w:ilvl w:val="0"/>
          <w:numId w:val="7"/>
        </w:numPr>
        <w:shd w:val="clear" w:color="auto" w:fill="FFFFFF"/>
        <w:spacing w:before="75" w:after="75" w:line="240" w:lineRule="auto"/>
        <w:rPr>
          <w:rFonts w:eastAsia="Times New Roman" w:cs="Arial"/>
          <w:color w:val="29333D"/>
          <w:szCs w:val="22"/>
          <w:lang w:eastAsia="en-GB"/>
        </w:rPr>
      </w:pPr>
      <w:r w:rsidRPr="00987DCE">
        <w:rPr>
          <w:rFonts w:eastAsia="Times New Roman" w:cs="Arial"/>
          <w:color w:val="29333D"/>
          <w:szCs w:val="22"/>
          <w:lang w:eastAsia="en-GB"/>
        </w:rPr>
        <w:t>Satisfied – the account was paid in full but previously defaulted</w:t>
      </w:r>
    </w:p>
    <w:p w14:paraId="2428454F" w14:textId="77777777" w:rsidR="00014B23" w:rsidRPr="00987DCE" w:rsidRDefault="00014B23" w:rsidP="00014B23">
      <w:pPr>
        <w:numPr>
          <w:ilvl w:val="0"/>
          <w:numId w:val="7"/>
        </w:numPr>
        <w:shd w:val="clear" w:color="auto" w:fill="FFFFFF"/>
        <w:spacing w:before="75" w:after="0" w:line="240" w:lineRule="auto"/>
        <w:rPr>
          <w:rFonts w:eastAsia="Times New Roman" w:cs="Arial"/>
          <w:color w:val="29333D"/>
          <w:szCs w:val="22"/>
          <w:lang w:eastAsia="en-GB"/>
        </w:rPr>
      </w:pPr>
      <w:r w:rsidRPr="00987DCE">
        <w:rPr>
          <w:rFonts w:eastAsia="Times New Roman" w:cs="Arial"/>
          <w:color w:val="29333D"/>
          <w:szCs w:val="22"/>
          <w:lang w:eastAsia="en-GB"/>
        </w:rPr>
        <w:t>Partially satisfied – the lender accepted a reduced amount to settle the debt, but the account previously defaulted</w:t>
      </w:r>
    </w:p>
    <w:p w14:paraId="37F79F86" w14:textId="77777777" w:rsidR="00014B23" w:rsidRPr="00987DCE" w:rsidRDefault="00014B23" w:rsidP="00014B23">
      <w:pPr>
        <w:pStyle w:val="3GCSubtitle"/>
      </w:pPr>
      <w:r w:rsidRPr="00987DCE">
        <w:t>How long does information stay on my credit report?</w:t>
      </w:r>
    </w:p>
    <w:p w14:paraId="31AF9785"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Normally, information stays on your credit file for six years, but there are some exceptions:</w:t>
      </w:r>
    </w:p>
    <w:p w14:paraId="385499DD" w14:textId="77777777" w:rsidR="00014B23" w:rsidRPr="00987DCE" w:rsidRDefault="00014B23" w:rsidP="00014B23">
      <w:pPr>
        <w:numPr>
          <w:ilvl w:val="0"/>
          <w:numId w:val="8"/>
        </w:numPr>
        <w:shd w:val="clear" w:color="auto" w:fill="FFFFFF"/>
        <w:spacing w:after="75" w:line="240" w:lineRule="auto"/>
        <w:rPr>
          <w:rFonts w:eastAsia="Times New Roman" w:cs="Arial"/>
          <w:color w:val="29333D"/>
          <w:szCs w:val="22"/>
          <w:lang w:eastAsia="en-GB"/>
        </w:rPr>
      </w:pPr>
      <w:r w:rsidRPr="00987DCE">
        <w:rPr>
          <w:rFonts w:eastAsia="Times New Roman" w:cs="Arial"/>
          <w:color w:val="29333D"/>
          <w:szCs w:val="22"/>
          <w:lang w:eastAsia="en-GB"/>
        </w:rPr>
        <w:t>Bankruptcy restriction orders or undertakings appear for their entire duration, which can be up to 15 years.</w:t>
      </w:r>
    </w:p>
    <w:p w14:paraId="209F973E" w14:textId="77777777" w:rsidR="00014B23" w:rsidRPr="00987DCE" w:rsidRDefault="00014B23" w:rsidP="00014B23">
      <w:pPr>
        <w:numPr>
          <w:ilvl w:val="0"/>
          <w:numId w:val="8"/>
        </w:numPr>
        <w:shd w:val="clear" w:color="auto" w:fill="FFFFFF"/>
        <w:spacing w:before="75" w:after="75" w:line="240" w:lineRule="auto"/>
        <w:rPr>
          <w:rFonts w:eastAsia="Times New Roman" w:cs="Arial"/>
          <w:color w:val="29333D"/>
          <w:szCs w:val="22"/>
          <w:lang w:eastAsia="en-GB"/>
        </w:rPr>
      </w:pPr>
      <w:r w:rsidRPr="00987DCE">
        <w:rPr>
          <w:rFonts w:eastAsia="Times New Roman" w:cs="Arial"/>
          <w:color w:val="29333D"/>
          <w:szCs w:val="22"/>
          <w:lang w:eastAsia="en-GB"/>
        </w:rPr>
        <w:t>IVAs are removed six years from the date of approval, or once they’ve been formally completed - this can take longer than six years.</w:t>
      </w:r>
    </w:p>
    <w:p w14:paraId="2579E4D7" w14:textId="77777777" w:rsidR="00014B23" w:rsidRPr="00987DCE" w:rsidRDefault="00014B23" w:rsidP="00014B23">
      <w:pPr>
        <w:numPr>
          <w:ilvl w:val="0"/>
          <w:numId w:val="8"/>
        </w:numPr>
        <w:shd w:val="clear" w:color="auto" w:fill="FFFFFF"/>
        <w:spacing w:before="75" w:after="0" w:line="240" w:lineRule="auto"/>
        <w:rPr>
          <w:rFonts w:eastAsia="Times New Roman" w:cs="Arial"/>
          <w:color w:val="29333D"/>
          <w:szCs w:val="22"/>
          <w:lang w:eastAsia="en-GB"/>
        </w:rPr>
      </w:pPr>
      <w:r w:rsidRPr="00987DCE">
        <w:rPr>
          <w:rFonts w:eastAsia="Times New Roman" w:cs="Arial"/>
          <w:color w:val="29333D"/>
          <w:szCs w:val="22"/>
          <w:lang w:eastAsia="en-GB"/>
        </w:rPr>
        <w:t>Magistrates’ fines in England and Wales appear for up to five years.</w:t>
      </w:r>
    </w:p>
    <w:p w14:paraId="504CD23D" w14:textId="77777777" w:rsidR="00014B23" w:rsidRPr="00987DCE" w:rsidRDefault="00014B23" w:rsidP="00014B23">
      <w:pPr>
        <w:pStyle w:val="3GCSubtitle"/>
      </w:pPr>
      <w:r w:rsidRPr="00987DCE">
        <w:t>What if there’s a mistake?</w:t>
      </w:r>
    </w:p>
    <w:p w14:paraId="2E2A489A" w14:textId="77777777" w:rsidR="00014B23" w:rsidRPr="00987DCE" w:rsidRDefault="00014B23" w:rsidP="00014B23">
      <w:pPr>
        <w:pStyle w:val="NormalWeb"/>
        <w:shd w:val="clear" w:color="auto" w:fill="FFFFFF"/>
        <w:spacing w:before="150" w:after="300"/>
        <w:rPr>
          <w:sz w:val="20"/>
          <w:szCs w:val="20"/>
        </w:rPr>
      </w:pPr>
      <w:r w:rsidRPr="00987DCE">
        <w:rPr>
          <w:rFonts w:ascii="Arial" w:hAnsi="Arial" w:cs="Arial"/>
          <w:color w:val="29333D"/>
          <w:sz w:val="22"/>
          <w:szCs w:val="22"/>
        </w:rPr>
        <w:t xml:space="preserve">If you find a mistake on your credit report, you can contact the </w:t>
      </w:r>
      <w:proofErr w:type="gramStart"/>
      <w:r w:rsidRPr="00987DCE">
        <w:rPr>
          <w:rFonts w:ascii="Arial" w:hAnsi="Arial" w:cs="Arial"/>
          <w:color w:val="29333D"/>
          <w:sz w:val="22"/>
          <w:szCs w:val="22"/>
        </w:rPr>
        <w:t>CRA</w:t>
      </w:r>
      <w:proofErr w:type="gramEnd"/>
      <w:r w:rsidRPr="00987DCE">
        <w:rPr>
          <w:rFonts w:ascii="Arial" w:hAnsi="Arial" w:cs="Arial"/>
          <w:color w:val="29333D"/>
          <w:sz w:val="22"/>
          <w:szCs w:val="22"/>
        </w:rPr>
        <w:t xml:space="preserve"> or the lender involved and ask them to correct or remove the mistake. This is important because errors on your report could prevent you from being able to obtain credit in the future.</w:t>
      </w:r>
    </w:p>
    <w:p w14:paraId="272FF8A4" w14:textId="77777777" w:rsidR="00014B23" w:rsidRPr="00987DCE" w:rsidRDefault="00014B23" w:rsidP="00014B23">
      <w:pPr>
        <w:pStyle w:val="NormalWeb"/>
        <w:shd w:val="clear" w:color="auto" w:fill="FFFFFF"/>
        <w:spacing w:before="0" w:beforeAutospacing="0" w:after="0" w:afterAutospacing="0"/>
        <w:rPr>
          <w:rFonts w:ascii="Arial" w:hAnsi="Arial" w:cs="Arial"/>
          <w:color w:val="29333D"/>
          <w:sz w:val="22"/>
          <w:szCs w:val="22"/>
        </w:rPr>
      </w:pPr>
      <w:r w:rsidRPr="00987DCE">
        <w:rPr>
          <w:rFonts w:ascii="Arial" w:hAnsi="Arial" w:cs="Arial"/>
          <w:color w:val="29333D"/>
          <w:sz w:val="22"/>
          <w:szCs w:val="22"/>
        </w:rPr>
        <w:t xml:space="preserve">If you think that you have been the victim of fraud (for example, someone else taking out credit in your name), you should also contact the police. </w:t>
      </w:r>
    </w:p>
    <w:p w14:paraId="766263FF"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 xml:space="preserve">You can also ask the CRA to add a ‘notice of correction’ to your credit report of up to 200 words, which potential lenders will see. This notice can explain the cause of your </w:t>
      </w:r>
      <w:proofErr w:type="gramStart"/>
      <w:r w:rsidRPr="00987DCE">
        <w:rPr>
          <w:rFonts w:ascii="Arial" w:hAnsi="Arial" w:cs="Arial"/>
          <w:color w:val="29333D"/>
          <w:sz w:val="22"/>
          <w:szCs w:val="22"/>
        </w:rPr>
        <w:t>debt, or</w:t>
      </w:r>
      <w:proofErr w:type="gramEnd"/>
      <w:r w:rsidRPr="00987DCE">
        <w:rPr>
          <w:rFonts w:ascii="Arial" w:hAnsi="Arial" w:cs="Arial"/>
          <w:color w:val="29333D"/>
          <w:sz w:val="22"/>
          <w:szCs w:val="22"/>
        </w:rPr>
        <w:t xml:space="preserve"> explain to a lender why the information on your credit file may be misleading.</w:t>
      </w:r>
    </w:p>
    <w:p w14:paraId="37A32539" w14:textId="77777777" w:rsidR="00014B23" w:rsidRPr="00987DCE" w:rsidRDefault="00014B23" w:rsidP="00014B23">
      <w:pPr>
        <w:pStyle w:val="3GCSubtitle"/>
      </w:pPr>
      <w:r w:rsidRPr="00987DCE">
        <w:t>How do I check my credit score?</w:t>
      </w:r>
    </w:p>
    <w:p w14:paraId="08D7D1A7"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 xml:space="preserve">CRAs can provide you with what’s known as your ‘credit score’. The higher your score, the less of a ‘credit risk’ you are considered. </w:t>
      </w:r>
    </w:p>
    <w:p w14:paraId="5A92B441"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 xml:space="preserve">You can use you credit score as a rough guide to how likely the CRA thinks it is that companies will lend to you. However, each lender has their own criteria which they don’t make public, so your credit score does not necessarily mean you </w:t>
      </w:r>
      <w:proofErr w:type="gramStart"/>
      <w:r w:rsidRPr="00987DCE">
        <w:rPr>
          <w:rFonts w:ascii="Arial" w:hAnsi="Arial" w:cs="Arial"/>
          <w:color w:val="29333D"/>
          <w:sz w:val="22"/>
          <w:szCs w:val="22"/>
        </w:rPr>
        <w:t>definitely will</w:t>
      </w:r>
      <w:proofErr w:type="gramEnd"/>
      <w:r w:rsidRPr="00987DCE">
        <w:rPr>
          <w:rFonts w:ascii="Arial" w:hAnsi="Arial" w:cs="Arial"/>
          <w:color w:val="29333D"/>
          <w:sz w:val="22"/>
          <w:szCs w:val="22"/>
        </w:rPr>
        <w:t xml:space="preserve"> or won’t be able to get credit.</w:t>
      </w:r>
    </w:p>
    <w:p w14:paraId="491A117B" w14:textId="77777777" w:rsidR="00014B23" w:rsidRPr="00987DCE" w:rsidRDefault="00014B23" w:rsidP="00014B23">
      <w:pPr>
        <w:pStyle w:val="3GCSubtitle"/>
      </w:pPr>
      <w:r w:rsidRPr="00987DCE">
        <w:t>Can I improve my credit score?</w:t>
      </w:r>
    </w:p>
    <w:p w14:paraId="081D7CCB" w14:textId="77777777" w:rsidR="00014B23" w:rsidRPr="00987DCE" w:rsidRDefault="00014B23" w:rsidP="00014B23">
      <w:pPr>
        <w:pStyle w:val="NormalWeb"/>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 xml:space="preserve">It’s possible to improve a low credit score. This can increase your chances of being accepted for credit, and help you get a better interest rate. </w:t>
      </w:r>
    </w:p>
    <w:p w14:paraId="6E493ACE" w14:textId="77777777" w:rsidR="00014B23" w:rsidRPr="00987DCE" w:rsidRDefault="00014B23" w:rsidP="00014B23">
      <w:pPr>
        <w:pStyle w:val="NormalWeb"/>
        <w:numPr>
          <w:ilvl w:val="0"/>
          <w:numId w:val="9"/>
        </w:numPr>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Firstly, get a copy of your credit report and make sure all the information is correct. Check whether you’re on the electoral register, and keep your household bills up to date.</w:t>
      </w:r>
    </w:p>
    <w:p w14:paraId="0A61E07C" w14:textId="77777777" w:rsidR="00014B23" w:rsidRPr="00987DCE" w:rsidRDefault="00014B23" w:rsidP="00014B23">
      <w:pPr>
        <w:pStyle w:val="NormalWeb"/>
        <w:numPr>
          <w:ilvl w:val="0"/>
          <w:numId w:val="9"/>
        </w:numPr>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 xml:space="preserve">Taking out a small amount of credit and repaying it on time may improve your credit score by showing you can use credit responsibly. For example, spending regularly on a credit card with a small limit, and clearing the balance in full each month. </w:t>
      </w:r>
    </w:p>
    <w:p w14:paraId="67ED9B09" w14:textId="77777777" w:rsidR="00014B23" w:rsidRPr="00987DCE" w:rsidRDefault="00014B23" w:rsidP="00014B23">
      <w:pPr>
        <w:pStyle w:val="NormalWeb"/>
        <w:numPr>
          <w:ilvl w:val="0"/>
          <w:numId w:val="9"/>
        </w:numPr>
        <w:shd w:val="clear" w:color="auto" w:fill="FFFFFF"/>
        <w:spacing w:before="150" w:beforeAutospacing="0" w:after="300" w:afterAutospacing="0"/>
        <w:rPr>
          <w:rFonts w:ascii="Arial" w:hAnsi="Arial" w:cs="Arial"/>
          <w:color w:val="29333D"/>
          <w:sz w:val="22"/>
          <w:szCs w:val="22"/>
        </w:rPr>
      </w:pPr>
      <w:r w:rsidRPr="00987DCE">
        <w:rPr>
          <w:rFonts w:ascii="Arial" w:hAnsi="Arial" w:cs="Arial"/>
          <w:color w:val="29333D"/>
          <w:sz w:val="22"/>
          <w:szCs w:val="22"/>
        </w:rPr>
        <w:t xml:space="preserve">If you have lots of cards and accounts that you don’t use any more, consider closing some of them. </w:t>
      </w:r>
    </w:p>
    <w:p w14:paraId="216185A2" w14:textId="77777777" w:rsidR="00014B23" w:rsidRDefault="00014B23" w:rsidP="00014B23"/>
    <w:p w14:paraId="355057C4" w14:textId="77777777" w:rsidR="00014B23" w:rsidRPr="00D1039B" w:rsidRDefault="00014B23" w:rsidP="00014B23"/>
    <w:p w14:paraId="71963CD3" w14:textId="764B7500" w:rsidR="00D1039B" w:rsidRPr="00014B23" w:rsidRDefault="00D1039B" w:rsidP="00014B23"/>
    <w:sectPr w:rsidR="00D1039B" w:rsidRPr="00014B23" w:rsidSect="00A804B2">
      <w:headerReference w:type="default" r:id="rId10"/>
      <w:footerReference w:type="even" r:id="rId11"/>
      <w:headerReference w:type="first" r:id="rId12"/>
      <w:footerReference w:type="first" r:id="rId13"/>
      <w:pgSz w:w="11900" w:h="16840"/>
      <w:pgMar w:top="1021" w:right="1021" w:bottom="1021" w:left="1021" w:header="561"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30A6" w14:textId="77777777" w:rsidR="004E2520" w:rsidRDefault="004E2520" w:rsidP="00653127">
      <w:r>
        <w:separator/>
      </w:r>
    </w:p>
  </w:endnote>
  <w:endnote w:type="continuationSeparator" w:id="0">
    <w:p w14:paraId="209AD830" w14:textId="77777777" w:rsidR="004E2520" w:rsidRDefault="004E2520" w:rsidP="0065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Grande">
    <w:altName w:val="Times New Roman"/>
    <w:charset w:val="00"/>
    <w:family w:val="swiss"/>
    <w:pitch w:val="variable"/>
    <w:sig w:usb0="E1000AEF" w:usb1="5000A1FF" w:usb2="00000000" w:usb3="00000000" w:csb0="000001BF" w:csb1="00000000"/>
  </w:font>
  <w:font w:name="Muro">
    <w:altName w:val="Calibri"/>
    <w:panose1 w:val="00000000000000000000"/>
    <w:charset w:val="00"/>
    <w:family w:val="modern"/>
    <w:notTrueType/>
    <w:pitch w:val="variable"/>
    <w:sig w:usb0="8000002F" w:usb1="0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5111438"/>
      <w:docPartObj>
        <w:docPartGallery w:val="Page Numbers (Bottom of Page)"/>
        <w:docPartUnique/>
      </w:docPartObj>
    </w:sdtPr>
    <w:sdtEndPr>
      <w:rPr>
        <w:rStyle w:val="PageNumber"/>
      </w:rPr>
    </w:sdtEndPr>
    <w:sdtContent>
      <w:p w14:paraId="38366254" w14:textId="1EDA4FB1" w:rsidR="0055248D" w:rsidRDefault="0055248D" w:rsidP="00552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40890555"/>
      <w:docPartObj>
        <w:docPartGallery w:val="Page Numbers (Bottom of Page)"/>
        <w:docPartUnique/>
      </w:docPartObj>
    </w:sdtPr>
    <w:sdtEndPr>
      <w:rPr>
        <w:rStyle w:val="PageNumber"/>
      </w:rPr>
    </w:sdtEndPr>
    <w:sdtContent>
      <w:p w14:paraId="4A1D622A" w14:textId="477C2470" w:rsidR="0055248D" w:rsidRDefault="0055248D" w:rsidP="00F1447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27940413"/>
      <w:docPartObj>
        <w:docPartGallery w:val="Page Numbers (Bottom of Page)"/>
        <w:docPartUnique/>
      </w:docPartObj>
    </w:sdtPr>
    <w:sdtEndPr>
      <w:rPr>
        <w:rStyle w:val="PageNumber"/>
      </w:rPr>
    </w:sdtEndPr>
    <w:sdtContent>
      <w:p w14:paraId="08897F54" w14:textId="2E882013" w:rsidR="0055248D" w:rsidRDefault="0055248D" w:rsidP="00F1447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47AB73" w14:textId="77777777" w:rsidR="0055248D" w:rsidRDefault="0055248D" w:rsidP="007F2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0F9B" w14:textId="2CC57120" w:rsidR="0055248D" w:rsidRPr="00F14475" w:rsidRDefault="0055248D" w:rsidP="0055248D">
    <w:pPr>
      <w:pStyle w:val="Footer"/>
      <w:framePr w:wrap="none" w:vAnchor="text" w:hAnchor="margin" w:xAlign="right" w:y="1"/>
      <w:rPr>
        <w:rStyle w:val="PageNumber"/>
        <w:b/>
        <w:bCs/>
      </w:rPr>
    </w:pPr>
  </w:p>
  <w:p w14:paraId="53A5C229" w14:textId="438F4399" w:rsidR="0055248D" w:rsidRPr="00CF293A" w:rsidRDefault="0055248D" w:rsidP="00A804B2">
    <w:pPr>
      <w:spacing w:before="120"/>
      <w:rPr>
        <w:rFonts w:ascii="Muro" w:hAnsi="Muro"/>
        <w:color w:val="E4541B" w:themeColor="accent2"/>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66B6" w14:textId="77777777" w:rsidR="004E2520" w:rsidRDefault="004E2520" w:rsidP="00653127">
      <w:r>
        <w:separator/>
      </w:r>
    </w:p>
  </w:footnote>
  <w:footnote w:type="continuationSeparator" w:id="0">
    <w:p w14:paraId="5C7BEB31" w14:textId="77777777" w:rsidR="004E2520" w:rsidRDefault="004E2520" w:rsidP="00653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8982" w14:textId="0603ABB0" w:rsidR="0055248D" w:rsidRPr="00266115" w:rsidRDefault="0055248D" w:rsidP="00266115">
    <w:pPr>
      <w:pStyle w:val="Header"/>
    </w:pPr>
    <w:r w:rsidRPr="00266115">
      <w:rPr>
        <w:noProof/>
        <w:lang w:eastAsia="en-GB"/>
      </w:rPr>
      <w:drawing>
        <wp:anchor distT="0" distB="0" distL="114300" distR="114300" simplePos="0" relativeHeight="251679744" behindDoc="0" locked="0" layoutInCell="1" allowOverlap="1" wp14:anchorId="5ED8689D" wp14:editId="1924BE22">
          <wp:simplePos x="0" y="0"/>
          <wp:positionH relativeFrom="margin">
            <wp:posOffset>4450080</wp:posOffset>
          </wp:positionH>
          <wp:positionV relativeFrom="margin">
            <wp:posOffset>-828675</wp:posOffset>
          </wp:positionV>
          <wp:extent cx="1994400" cy="784800"/>
          <wp:effectExtent l="0" t="0" r="0" b="3175"/>
          <wp:wrapSquare wrapText="bothSides"/>
          <wp:docPr id="8" name="Picture 8" descr="StepChan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change_logo.jpg"/>
                  <pic:cNvPicPr/>
                </pic:nvPicPr>
                <pic:blipFill>
                  <a:blip r:embed="rId1">
                    <a:extLst>
                      <a:ext uri="{28A0092B-C50C-407E-A947-70E740481C1C}">
                        <a14:useLocalDpi xmlns:a14="http://schemas.microsoft.com/office/drawing/2010/main" val="0"/>
                      </a:ext>
                    </a:extLst>
                  </a:blip>
                  <a:stretch>
                    <a:fillRect/>
                  </a:stretch>
                </pic:blipFill>
                <pic:spPr>
                  <a:xfrm>
                    <a:off x="0" y="0"/>
                    <a:ext cx="1994400" cy="784800"/>
                  </a:xfrm>
                  <a:prstGeom prst="rect">
                    <a:avLst/>
                  </a:prstGeom>
                </pic:spPr>
              </pic:pic>
            </a:graphicData>
          </a:graphic>
          <wp14:sizeRelH relativeFrom="margin">
            <wp14:pctWidth>0</wp14:pctWidth>
          </wp14:sizeRelH>
          <wp14:sizeRelV relativeFrom="margin">
            <wp14:pctHeight>0</wp14:pctHeight>
          </wp14:sizeRelV>
        </wp:anchor>
      </w:drawing>
    </w:r>
  </w:p>
  <w:p w14:paraId="522026C0" w14:textId="77777777" w:rsidR="0055248D" w:rsidRDefault="0055248D" w:rsidP="008B2228">
    <w:pPr>
      <w:pStyle w:val="Header"/>
      <w:rPr>
        <w:u w:val="single"/>
      </w:rPr>
    </w:pPr>
  </w:p>
  <w:p w14:paraId="3986BBC0" w14:textId="68296D3C" w:rsidR="0055248D" w:rsidRDefault="0055248D" w:rsidP="00266115">
    <w:pPr>
      <w:pStyle w:val="Header"/>
      <w:jc w:val="right"/>
      <w:rPr>
        <w:u w:val="single"/>
      </w:rPr>
    </w:pPr>
  </w:p>
  <w:p w14:paraId="217FC502" w14:textId="27AA82DE" w:rsidR="0055248D" w:rsidRDefault="0055248D" w:rsidP="005D0AED">
    <w:pPr>
      <w:pStyle w:val="Header"/>
      <w:tabs>
        <w:tab w:val="clear" w:pos="43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4827" w14:textId="77777777" w:rsidR="0055248D" w:rsidRPr="00266115" w:rsidRDefault="0055248D" w:rsidP="005D0AED">
    <w:pPr>
      <w:pStyle w:val="Header"/>
    </w:pPr>
    <w:r w:rsidRPr="00266115">
      <w:rPr>
        <w:noProof/>
        <w:lang w:eastAsia="en-GB"/>
      </w:rPr>
      <w:drawing>
        <wp:anchor distT="0" distB="0" distL="114300" distR="114300" simplePos="0" relativeHeight="251681792" behindDoc="0" locked="0" layoutInCell="1" allowOverlap="1" wp14:anchorId="60DE9C25" wp14:editId="450FD00E">
          <wp:simplePos x="0" y="0"/>
          <wp:positionH relativeFrom="margin">
            <wp:posOffset>4451350</wp:posOffset>
          </wp:positionH>
          <wp:positionV relativeFrom="margin">
            <wp:posOffset>-1245507</wp:posOffset>
          </wp:positionV>
          <wp:extent cx="1994400" cy="784800"/>
          <wp:effectExtent l="0" t="0" r="0" b="3175"/>
          <wp:wrapSquare wrapText="bothSides"/>
          <wp:docPr id="9" name="Picture 9" descr="StepChan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change_logo.jpg"/>
                  <pic:cNvPicPr/>
                </pic:nvPicPr>
                <pic:blipFill>
                  <a:blip r:embed="rId1">
                    <a:extLst>
                      <a:ext uri="{28A0092B-C50C-407E-A947-70E740481C1C}">
                        <a14:useLocalDpi xmlns:a14="http://schemas.microsoft.com/office/drawing/2010/main" val="0"/>
                      </a:ext>
                    </a:extLst>
                  </a:blip>
                  <a:stretch>
                    <a:fillRect/>
                  </a:stretch>
                </pic:blipFill>
                <pic:spPr>
                  <a:xfrm>
                    <a:off x="0" y="0"/>
                    <a:ext cx="1994400" cy="784800"/>
                  </a:xfrm>
                  <a:prstGeom prst="rect">
                    <a:avLst/>
                  </a:prstGeom>
                </pic:spPr>
              </pic:pic>
            </a:graphicData>
          </a:graphic>
          <wp14:sizeRelH relativeFrom="margin">
            <wp14:pctWidth>0</wp14:pctWidth>
          </wp14:sizeRelH>
          <wp14:sizeRelV relativeFrom="margin">
            <wp14:pctHeight>0</wp14:pctHeight>
          </wp14:sizeRelV>
        </wp:anchor>
      </w:drawing>
    </w:r>
  </w:p>
  <w:p w14:paraId="1D28EE3D" w14:textId="77777777" w:rsidR="0055248D" w:rsidRDefault="0055248D" w:rsidP="005D0AED">
    <w:pPr>
      <w:pStyle w:val="Header"/>
      <w:rPr>
        <w:u w:val="single"/>
      </w:rPr>
    </w:pPr>
  </w:p>
  <w:p w14:paraId="46486D7B" w14:textId="77777777" w:rsidR="0055248D" w:rsidRDefault="0055248D" w:rsidP="005D0AED">
    <w:pPr>
      <w:pStyle w:val="Header"/>
      <w:jc w:val="right"/>
      <w:rPr>
        <w:u w:val="single"/>
      </w:rPr>
    </w:pPr>
  </w:p>
  <w:p w14:paraId="639CE0EC" w14:textId="77777777" w:rsidR="0055248D" w:rsidRDefault="0055248D" w:rsidP="005D0AED">
    <w:pPr>
      <w:pStyle w:val="Header"/>
      <w:jc w:val="right"/>
      <w:rPr>
        <w:u w:val="single"/>
      </w:rPr>
    </w:pPr>
  </w:p>
  <w:p w14:paraId="146DA464" w14:textId="77777777" w:rsidR="0055248D" w:rsidRPr="00266115" w:rsidRDefault="004E2520" w:rsidP="005D0AED">
    <w:pPr>
      <w:pStyle w:val="Header"/>
      <w:jc w:val="right"/>
      <w:rPr>
        <w:u w:val="single"/>
      </w:rPr>
    </w:pPr>
    <w:hyperlink r:id="rId2" w:history="1">
      <w:r w:rsidR="0055248D" w:rsidRPr="00266115">
        <w:rPr>
          <w:rStyle w:val="Hyperlink"/>
        </w:rPr>
        <w:t>www.stepchange.org</w:t>
      </w:r>
    </w:hyperlink>
  </w:p>
  <w:p w14:paraId="47B5EBE6" w14:textId="6A0D69D8" w:rsidR="0055248D" w:rsidRDefault="0055248D" w:rsidP="007F2D27">
    <w:pPr>
      <w:pStyle w:val="Header"/>
      <w:tabs>
        <w:tab w:val="clear" w:pos="4320"/>
        <w:tab w:val="clear" w:pos="8640"/>
        <w:tab w:val="left" w:pos="82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57ED9"/>
    <w:multiLevelType w:val="multilevel"/>
    <w:tmpl w:val="51BC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C5197"/>
    <w:multiLevelType w:val="hybridMultilevel"/>
    <w:tmpl w:val="0D026518"/>
    <w:lvl w:ilvl="0" w:tplc="B05C28BC">
      <w:numFmt w:val="bullet"/>
      <w:lvlText w:val="•"/>
      <w:lvlJc w:val="left"/>
      <w:pPr>
        <w:ind w:left="720" w:hanging="360"/>
      </w:pPr>
      <w:rPr>
        <w:rFonts w:ascii="MS Gothic" w:eastAsia="MS Gothic" w:hAnsi="MS Gothic"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B3C79"/>
    <w:multiLevelType w:val="multilevel"/>
    <w:tmpl w:val="464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A796A"/>
    <w:multiLevelType w:val="multilevel"/>
    <w:tmpl w:val="4E4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24119"/>
    <w:multiLevelType w:val="multilevel"/>
    <w:tmpl w:val="519A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72F4B"/>
    <w:multiLevelType w:val="multilevel"/>
    <w:tmpl w:val="03EA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03304E"/>
    <w:multiLevelType w:val="hybridMultilevel"/>
    <w:tmpl w:val="EA8C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8E4F6A"/>
    <w:multiLevelType w:val="multilevel"/>
    <w:tmpl w:val="B608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7080B"/>
    <w:multiLevelType w:val="multilevel"/>
    <w:tmpl w:val="726E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8"/>
  </w:num>
  <w:num w:numId="5">
    <w:abstractNumId w:val="2"/>
  </w:num>
  <w:num w:numId="6">
    <w:abstractNumId w:val="3"/>
  </w:num>
  <w:num w:numId="7">
    <w:abstractNumId w:val="4"/>
  </w:num>
  <w:num w:numId="8">
    <w:abstractNumId w:val="0"/>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28"/>
    <w:rsid w:val="000144D2"/>
    <w:rsid w:val="00014B23"/>
    <w:rsid w:val="00020D88"/>
    <w:rsid w:val="0002240C"/>
    <w:rsid w:val="00023956"/>
    <w:rsid w:val="00035DB8"/>
    <w:rsid w:val="0004054A"/>
    <w:rsid w:val="00041E63"/>
    <w:rsid w:val="00046734"/>
    <w:rsid w:val="00054A5B"/>
    <w:rsid w:val="00062B70"/>
    <w:rsid w:val="00066D9E"/>
    <w:rsid w:val="00084CF4"/>
    <w:rsid w:val="000A0C68"/>
    <w:rsid w:val="000A4690"/>
    <w:rsid w:val="000A5BA5"/>
    <w:rsid w:val="000E49DC"/>
    <w:rsid w:val="000F16D1"/>
    <w:rsid w:val="000F4F4C"/>
    <w:rsid w:val="00117680"/>
    <w:rsid w:val="00123F5D"/>
    <w:rsid w:val="00133E80"/>
    <w:rsid w:val="00134753"/>
    <w:rsid w:val="00136E49"/>
    <w:rsid w:val="001470D1"/>
    <w:rsid w:val="001675D2"/>
    <w:rsid w:val="00167D12"/>
    <w:rsid w:val="00173FF3"/>
    <w:rsid w:val="00183130"/>
    <w:rsid w:val="001B6B65"/>
    <w:rsid w:val="001D6E8C"/>
    <w:rsid w:val="001D7795"/>
    <w:rsid w:val="001E16C2"/>
    <w:rsid w:val="0020485E"/>
    <w:rsid w:val="00223238"/>
    <w:rsid w:val="00232BF2"/>
    <w:rsid w:val="0024259D"/>
    <w:rsid w:val="00242CAF"/>
    <w:rsid w:val="002632FA"/>
    <w:rsid w:val="00266115"/>
    <w:rsid w:val="00275D73"/>
    <w:rsid w:val="00281B62"/>
    <w:rsid w:val="00287B17"/>
    <w:rsid w:val="002909E6"/>
    <w:rsid w:val="00293624"/>
    <w:rsid w:val="002978FA"/>
    <w:rsid w:val="002B2619"/>
    <w:rsid w:val="002B29E1"/>
    <w:rsid w:val="002B3045"/>
    <w:rsid w:val="002B68DD"/>
    <w:rsid w:val="002C13B5"/>
    <w:rsid w:val="002C32BF"/>
    <w:rsid w:val="002D316C"/>
    <w:rsid w:val="002D4632"/>
    <w:rsid w:val="002E0789"/>
    <w:rsid w:val="002F1812"/>
    <w:rsid w:val="002F760A"/>
    <w:rsid w:val="00310ECF"/>
    <w:rsid w:val="00314C60"/>
    <w:rsid w:val="00317D2F"/>
    <w:rsid w:val="0032599D"/>
    <w:rsid w:val="003524AF"/>
    <w:rsid w:val="00356B50"/>
    <w:rsid w:val="003659EA"/>
    <w:rsid w:val="0036730A"/>
    <w:rsid w:val="00381BFE"/>
    <w:rsid w:val="00384CBB"/>
    <w:rsid w:val="00385C97"/>
    <w:rsid w:val="00390ABE"/>
    <w:rsid w:val="0039185D"/>
    <w:rsid w:val="00392423"/>
    <w:rsid w:val="003A3A95"/>
    <w:rsid w:val="003C09B4"/>
    <w:rsid w:val="003D25E0"/>
    <w:rsid w:val="003D3906"/>
    <w:rsid w:val="004066C9"/>
    <w:rsid w:val="00410618"/>
    <w:rsid w:val="00435A5C"/>
    <w:rsid w:val="00443A77"/>
    <w:rsid w:val="00444264"/>
    <w:rsid w:val="004826BC"/>
    <w:rsid w:val="004846AB"/>
    <w:rsid w:val="004B44D3"/>
    <w:rsid w:val="004B699B"/>
    <w:rsid w:val="004C0D32"/>
    <w:rsid w:val="004C425A"/>
    <w:rsid w:val="004C4679"/>
    <w:rsid w:val="004D2341"/>
    <w:rsid w:val="004D2FE9"/>
    <w:rsid w:val="004E2520"/>
    <w:rsid w:val="004E490A"/>
    <w:rsid w:val="004F05B3"/>
    <w:rsid w:val="0050120B"/>
    <w:rsid w:val="0050264D"/>
    <w:rsid w:val="005057DB"/>
    <w:rsid w:val="005078D8"/>
    <w:rsid w:val="0051776A"/>
    <w:rsid w:val="0052350C"/>
    <w:rsid w:val="00540E22"/>
    <w:rsid w:val="0055248D"/>
    <w:rsid w:val="0056067B"/>
    <w:rsid w:val="00562536"/>
    <w:rsid w:val="00563BAF"/>
    <w:rsid w:val="0056444E"/>
    <w:rsid w:val="005655EA"/>
    <w:rsid w:val="00565ECF"/>
    <w:rsid w:val="00567FF2"/>
    <w:rsid w:val="00573D17"/>
    <w:rsid w:val="00582423"/>
    <w:rsid w:val="00590204"/>
    <w:rsid w:val="005B2DFD"/>
    <w:rsid w:val="005C753D"/>
    <w:rsid w:val="005D0AED"/>
    <w:rsid w:val="005D5607"/>
    <w:rsid w:val="005F6F5A"/>
    <w:rsid w:val="006001EB"/>
    <w:rsid w:val="0060586C"/>
    <w:rsid w:val="006075DE"/>
    <w:rsid w:val="006134A1"/>
    <w:rsid w:val="00646C5A"/>
    <w:rsid w:val="00646FEA"/>
    <w:rsid w:val="00652327"/>
    <w:rsid w:val="00653127"/>
    <w:rsid w:val="00665D58"/>
    <w:rsid w:val="006838B7"/>
    <w:rsid w:val="006965A7"/>
    <w:rsid w:val="006A0070"/>
    <w:rsid w:val="006A2CEE"/>
    <w:rsid w:val="006A39AC"/>
    <w:rsid w:val="006B6EC2"/>
    <w:rsid w:val="006E420A"/>
    <w:rsid w:val="006F1BFD"/>
    <w:rsid w:val="006F63B4"/>
    <w:rsid w:val="00706352"/>
    <w:rsid w:val="00722224"/>
    <w:rsid w:val="007303C9"/>
    <w:rsid w:val="00733360"/>
    <w:rsid w:val="00740568"/>
    <w:rsid w:val="00746F09"/>
    <w:rsid w:val="0075124A"/>
    <w:rsid w:val="00752815"/>
    <w:rsid w:val="0075708E"/>
    <w:rsid w:val="0076213E"/>
    <w:rsid w:val="00774F35"/>
    <w:rsid w:val="00775D10"/>
    <w:rsid w:val="007766EC"/>
    <w:rsid w:val="0077728C"/>
    <w:rsid w:val="007773BB"/>
    <w:rsid w:val="007973AC"/>
    <w:rsid w:val="007A3108"/>
    <w:rsid w:val="007A5D31"/>
    <w:rsid w:val="007E5960"/>
    <w:rsid w:val="007F2D27"/>
    <w:rsid w:val="00803F61"/>
    <w:rsid w:val="0080705C"/>
    <w:rsid w:val="00812683"/>
    <w:rsid w:val="008241D5"/>
    <w:rsid w:val="0082515F"/>
    <w:rsid w:val="008259EF"/>
    <w:rsid w:val="0083689F"/>
    <w:rsid w:val="008440F9"/>
    <w:rsid w:val="00844CF1"/>
    <w:rsid w:val="00850796"/>
    <w:rsid w:val="008507B8"/>
    <w:rsid w:val="0085684C"/>
    <w:rsid w:val="00862266"/>
    <w:rsid w:val="008810B9"/>
    <w:rsid w:val="008854A0"/>
    <w:rsid w:val="00893A15"/>
    <w:rsid w:val="00895E79"/>
    <w:rsid w:val="00896E22"/>
    <w:rsid w:val="008A4F30"/>
    <w:rsid w:val="008B00FE"/>
    <w:rsid w:val="008B2228"/>
    <w:rsid w:val="008B67A5"/>
    <w:rsid w:val="008D29C9"/>
    <w:rsid w:val="008D3F4B"/>
    <w:rsid w:val="008E03E5"/>
    <w:rsid w:val="008E17C4"/>
    <w:rsid w:val="008E2834"/>
    <w:rsid w:val="008F57F0"/>
    <w:rsid w:val="00905934"/>
    <w:rsid w:val="009228FF"/>
    <w:rsid w:val="00924372"/>
    <w:rsid w:val="009270FA"/>
    <w:rsid w:val="00927F49"/>
    <w:rsid w:val="009363C0"/>
    <w:rsid w:val="009363C4"/>
    <w:rsid w:val="00943D8E"/>
    <w:rsid w:val="00943FF1"/>
    <w:rsid w:val="009479CB"/>
    <w:rsid w:val="00953091"/>
    <w:rsid w:val="00953943"/>
    <w:rsid w:val="00962C67"/>
    <w:rsid w:val="00977439"/>
    <w:rsid w:val="00987DCE"/>
    <w:rsid w:val="00995635"/>
    <w:rsid w:val="009A1713"/>
    <w:rsid w:val="009A199F"/>
    <w:rsid w:val="009A6B42"/>
    <w:rsid w:val="009B3357"/>
    <w:rsid w:val="009E752D"/>
    <w:rsid w:val="009E7A88"/>
    <w:rsid w:val="009F51B1"/>
    <w:rsid w:val="009F7A2E"/>
    <w:rsid w:val="009F7ECD"/>
    <w:rsid w:val="00A06A86"/>
    <w:rsid w:val="00A1458F"/>
    <w:rsid w:val="00A2125B"/>
    <w:rsid w:val="00A26339"/>
    <w:rsid w:val="00A3084D"/>
    <w:rsid w:val="00A351CE"/>
    <w:rsid w:val="00A3602C"/>
    <w:rsid w:val="00A40649"/>
    <w:rsid w:val="00A43648"/>
    <w:rsid w:val="00A47E74"/>
    <w:rsid w:val="00A532F7"/>
    <w:rsid w:val="00A61B3D"/>
    <w:rsid w:val="00A804B2"/>
    <w:rsid w:val="00AA3098"/>
    <w:rsid w:val="00AA4B71"/>
    <w:rsid w:val="00AB2439"/>
    <w:rsid w:val="00AC5B5A"/>
    <w:rsid w:val="00AD58D9"/>
    <w:rsid w:val="00B07E14"/>
    <w:rsid w:val="00B154B2"/>
    <w:rsid w:val="00B2273F"/>
    <w:rsid w:val="00B43065"/>
    <w:rsid w:val="00B44C38"/>
    <w:rsid w:val="00B4709F"/>
    <w:rsid w:val="00B51D09"/>
    <w:rsid w:val="00B5288D"/>
    <w:rsid w:val="00B63C7E"/>
    <w:rsid w:val="00B66321"/>
    <w:rsid w:val="00BC2B98"/>
    <w:rsid w:val="00BC6837"/>
    <w:rsid w:val="00C07FF2"/>
    <w:rsid w:val="00C14D43"/>
    <w:rsid w:val="00C15460"/>
    <w:rsid w:val="00C41F89"/>
    <w:rsid w:val="00C43313"/>
    <w:rsid w:val="00C65C0C"/>
    <w:rsid w:val="00C7047A"/>
    <w:rsid w:val="00C80BDE"/>
    <w:rsid w:val="00C93A7F"/>
    <w:rsid w:val="00CB1AB8"/>
    <w:rsid w:val="00CC574D"/>
    <w:rsid w:val="00CD1C76"/>
    <w:rsid w:val="00CE20A3"/>
    <w:rsid w:val="00CE3E6F"/>
    <w:rsid w:val="00CE632F"/>
    <w:rsid w:val="00CE79A4"/>
    <w:rsid w:val="00CF293A"/>
    <w:rsid w:val="00CF5C41"/>
    <w:rsid w:val="00D1039B"/>
    <w:rsid w:val="00D54ED4"/>
    <w:rsid w:val="00D60128"/>
    <w:rsid w:val="00D71C96"/>
    <w:rsid w:val="00D83CAC"/>
    <w:rsid w:val="00D9552B"/>
    <w:rsid w:val="00DA1DD3"/>
    <w:rsid w:val="00DA71AB"/>
    <w:rsid w:val="00DB563D"/>
    <w:rsid w:val="00DB5F8B"/>
    <w:rsid w:val="00DE2B40"/>
    <w:rsid w:val="00DF00DF"/>
    <w:rsid w:val="00DF3FDA"/>
    <w:rsid w:val="00E02741"/>
    <w:rsid w:val="00E074CB"/>
    <w:rsid w:val="00E1032E"/>
    <w:rsid w:val="00E130DC"/>
    <w:rsid w:val="00E16F18"/>
    <w:rsid w:val="00E2521A"/>
    <w:rsid w:val="00E35BE5"/>
    <w:rsid w:val="00E37B7B"/>
    <w:rsid w:val="00E4336F"/>
    <w:rsid w:val="00E50925"/>
    <w:rsid w:val="00E556DF"/>
    <w:rsid w:val="00E67468"/>
    <w:rsid w:val="00E67916"/>
    <w:rsid w:val="00E76512"/>
    <w:rsid w:val="00E905D3"/>
    <w:rsid w:val="00EB7057"/>
    <w:rsid w:val="00EC6762"/>
    <w:rsid w:val="00EC6930"/>
    <w:rsid w:val="00ED2AA3"/>
    <w:rsid w:val="00ED4CCD"/>
    <w:rsid w:val="00EE09EF"/>
    <w:rsid w:val="00EE7BA8"/>
    <w:rsid w:val="00EF063D"/>
    <w:rsid w:val="00EF12EF"/>
    <w:rsid w:val="00EF7099"/>
    <w:rsid w:val="00F02F5D"/>
    <w:rsid w:val="00F03713"/>
    <w:rsid w:val="00F105E4"/>
    <w:rsid w:val="00F110DD"/>
    <w:rsid w:val="00F14475"/>
    <w:rsid w:val="00F145EA"/>
    <w:rsid w:val="00F1470B"/>
    <w:rsid w:val="00F14972"/>
    <w:rsid w:val="00F14E81"/>
    <w:rsid w:val="00F16A9B"/>
    <w:rsid w:val="00F2393B"/>
    <w:rsid w:val="00F40D51"/>
    <w:rsid w:val="00F41F20"/>
    <w:rsid w:val="00F51600"/>
    <w:rsid w:val="00F53FFC"/>
    <w:rsid w:val="00F55FFB"/>
    <w:rsid w:val="00FB4219"/>
    <w:rsid w:val="00FD1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44E6F6"/>
  <w15:docId w15:val="{1FE9E0E4-5239-444D-9E05-87ABFB35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copy"/>
    <w:qFormat/>
    <w:rsid w:val="00653127"/>
    <w:pPr>
      <w:spacing w:after="120" w:line="312" w:lineRule="auto"/>
    </w:pPr>
    <w:rPr>
      <w:rFonts w:ascii="Arial" w:hAnsi="Arial"/>
      <w:color w:val="333333"/>
      <w:sz w:val="22"/>
    </w:rPr>
  </w:style>
  <w:style w:type="paragraph" w:styleId="Heading1">
    <w:name w:val="heading 1"/>
    <w:basedOn w:val="Normal"/>
    <w:next w:val="Normal"/>
    <w:link w:val="Heading1Char"/>
    <w:uiPriority w:val="9"/>
    <w:rsid w:val="00895E79"/>
    <w:pPr>
      <w:keepNext/>
      <w:keepLines/>
      <w:spacing w:before="480" w:after="0"/>
      <w:outlineLvl w:val="0"/>
    </w:pPr>
    <w:rPr>
      <w:rFonts w:asciiTheme="majorHAnsi" w:eastAsiaTheme="majorEastAsia" w:hAnsiTheme="majorHAnsi" w:cstheme="majorBidi"/>
      <w:b/>
      <w:bCs/>
      <w:color w:val="4B2452" w:themeColor="accent1" w:themeShade="B5"/>
      <w:sz w:val="32"/>
      <w:szCs w:val="32"/>
    </w:rPr>
  </w:style>
  <w:style w:type="paragraph" w:styleId="Heading2">
    <w:name w:val="heading 2"/>
    <w:basedOn w:val="Normal"/>
    <w:next w:val="Normal"/>
    <w:link w:val="Heading2Char"/>
    <w:uiPriority w:val="9"/>
    <w:unhideWhenUsed/>
    <w:rsid w:val="00895E79"/>
    <w:pPr>
      <w:keepNext/>
      <w:keepLines/>
      <w:spacing w:before="200" w:after="0"/>
      <w:outlineLvl w:val="1"/>
    </w:pPr>
    <w:rPr>
      <w:rFonts w:asciiTheme="majorHAnsi" w:eastAsiaTheme="majorEastAsia" w:hAnsiTheme="majorHAnsi" w:cstheme="majorBidi"/>
      <w:b/>
      <w:bCs/>
      <w:color w:val="6B3374" w:themeColor="accent1"/>
      <w:sz w:val="26"/>
      <w:szCs w:val="26"/>
    </w:rPr>
  </w:style>
  <w:style w:type="paragraph" w:styleId="Heading3">
    <w:name w:val="heading 3"/>
    <w:basedOn w:val="Normal"/>
    <w:next w:val="Normal"/>
    <w:link w:val="Heading3Char"/>
    <w:uiPriority w:val="9"/>
    <w:unhideWhenUsed/>
    <w:rsid w:val="00895E79"/>
    <w:pPr>
      <w:keepNext/>
      <w:keepLines/>
      <w:spacing w:before="200" w:after="0"/>
      <w:outlineLvl w:val="2"/>
    </w:pPr>
    <w:rPr>
      <w:rFonts w:asciiTheme="majorHAnsi" w:eastAsiaTheme="majorEastAsia" w:hAnsiTheme="majorHAnsi" w:cstheme="majorBidi"/>
      <w:b/>
      <w:bCs/>
      <w:color w:val="6B3374" w:themeColor="accent1"/>
    </w:rPr>
  </w:style>
  <w:style w:type="paragraph" w:styleId="Heading4">
    <w:name w:val="heading 4"/>
    <w:basedOn w:val="Normal"/>
    <w:next w:val="Normal"/>
    <w:link w:val="Heading4Char"/>
    <w:uiPriority w:val="9"/>
    <w:unhideWhenUsed/>
    <w:rsid w:val="00895E79"/>
    <w:pPr>
      <w:keepNext/>
      <w:keepLines/>
      <w:spacing w:before="200" w:after="0"/>
      <w:outlineLvl w:val="3"/>
    </w:pPr>
    <w:rPr>
      <w:rFonts w:asciiTheme="majorHAnsi" w:eastAsiaTheme="majorEastAsia" w:hAnsiTheme="majorHAnsi" w:cstheme="majorBidi"/>
      <w:b/>
      <w:bCs/>
      <w:i/>
      <w:iCs/>
      <w:color w:val="6B3374" w:themeColor="accent1"/>
    </w:rPr>
  </w:style>
  <w:style w:type="paragraph" w:styleId="Heading5">
    <w:name w:val="heading 5"/>
    <w:basedOn w:val="Normal"/>
    <w:next w:val="Normal"/>
    <w:link w:val="Heading5Char"/>
    <w:uiPriority w:val="9"/>
    <w:unhideWhenUsed/>
    <w:rsid w:val="00895E79"/>
    <w:pPr>
      <w:keepNext/>
      <w:keepLines/>
      <w:spacing w:before="200" w:after="0"/>
      <w:outlineLvl w:val="4"/>
    </w:pPr>
    <w:rPr>
      <w:rFonts w:asciiTheme="majorHAnsi" w:eastAsiaTheme="majorEastAsia" w:hAnsiTheme="majorHAnsi" w:cstheme="majorBidi"/>
      <w:color w:val="3419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5">
    <w:name w:val="Medium Shading 1 Accent 5"/>
    <w:basedOn w:val="TableNormal"/>
    <w:uiPriority w:val="63"/>
    <w:rsid w:val="00D60128"/>
    <w:tblPr>
      <w:tblStyleRowBandSize w:val="1"/>
      <w:tblStyleColBandSize w:val="1"/>
      <w:tblBorders>
        <w:top w:val="single" w:sz="8" w:space="0" w:color="C6DB5A" w:themeColor="accent5" w:themeTint="BF"/>
        <w:left w:val="single" w:sz="8" w:space="0" w:color="C6DB5A" w:themeColor="accent5" w:themeTint="BF"/>
        <w:bottom w:val="single" w:sz="8" w:space="0" w:color="C6DB5A" w:themeColor="accent5" w:themeTint="BF"/>
        <w:right w:val="single" w:sz="8" w:space="0" w:color="C6DB5A" w:themeColor="accent5" w:themeTint="BF"/>
        <w:insideH w:val="single" w:sz="8" w:space="0" w:color="C6DB5A" w:themeColor="accent5" w:themeTint="BF"/>
      </w:tblBorders>
    </w:tblPr>
    <w:tblStylePr w:type="firstRow">
      <w:pPr>
        <w:spacing w:before="0" w:after="0" w:line="240" w:lineRule="auto"/>
      </w:pPr>
      <w:rPr>
        <w:b/>
        <w:bCs/>
        <w:color w:val="FFFFFF" w:themeColor="background1"/>
      </w:rPr>
      <w:tblPr/>
      <w:tcPr>
        <w:tcBorders>
          <w:top w:val="single" w:sz="8" w:space="0" w:color="C6DB5A" w:themeColor="accent5" w:themeTint="BF"/>
          <w:left w:val="single" w:sz="8" w:space="0" w:color="C6DB5A" w:themeColor="accent5" w:themeTint="BF"/>
          <w:bottom w:val="single" w:sz="8" w:space="0" w:color="C6DB5A" w:themeColor="accent5" w:themeTint="BF"/>
          <w:right w:val="single" w:sz="8" w:space="0" w:color="C6DB5A" w:themeColor="accent5" w:themeTint="BF"/>
          <w:insideH w:val="nil"/>
          <w:insideV w:val="nil"/>
        </w:tcBorders>
        <w:shd w:val="clear" w:color="auto" w:fill="AFC82B" w:themeFill="accent5"/>
      </w:tcPr>
    </w:tblStylePr>
    <w:tblStylePr w:type="lastRow">
      <w:pPr>
        <w:spacing w:before="0" w:after="0" w:line="240" w:lineRule="auto"/>
      </w:pPr>
      <w:rPr>
        <w:b/>
        <w:bCs/>
      </w:rPr>
      <w:tblPr/>
      <w:tcPr>
        <w:tcBorders>
          <w:top w:val="double" w:sz="6" w:space="0" w:color="C6DB5A" w:themeColor="accent5" w:themeTint="BF"/>
          <w:left w:val="single" w:sz="8" w:space="0" w:color="C6DB5A" w:themeColor="accent5" w:themeTint="BF"/>
          <w:bottom w:val="single" w:sz="8" w:space="0" w:color="C6DB5A" w:themeColor="accent5" w:themeTint="BF"/>
          <w:right w:val="single" w:sz="8" w:space="0" w:color="C6DB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CF3C8" w:themeFill="accent5" w:themeFillTint="3F"/>
      </w:tcPr>
    </w:tblStylePr>
    <w:tblStylePr w:type="band1Horz">
      <w:tblPr/>
      <w:tcPr>
        <w:tcBorders>
          <w:insideH w:val="nil"/>
          <w:insideV w:val="nil"/>
        </w:tcBorders>
        <w:shd w:val="clear" w:color="auto" w:fill="ECF3C8"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D601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128"/>
    <w:rPr>
      <w:rFonts w:ascii="Lucida Grande" w:hAnsi="Lucida Grande" w:cs="Lucida Grande"/>
      <w:sz w:val="18"/>
      <w:szCs w:val="18"/>
    </w:rPr>
  </w:style>
  <w:style w:type="paragraph" w:customStyle="1" w:styleId="3GCSubtitle">
    <w:name w:val="3 GC Subtitle"/>
    <w:basedOn w:val="Heading3"/>
    <w:next w:val="Normal"/>
    <w:qFormat/>
    <w:rsid w:val="00CE3E6F"/>
    <w:pPr>
      <w:spacing w:after="120"/>
    </w:pPr>
    <w:rPr>
      <w:b w:val="0"/>
      <w:color w:val="6B3374"/>
      <w:sz w:val="32"/>
      <w:szCs w:val="32"/>
    </w:rPr>
  </w:style>
  <w:style w:type="paragraph" w:customStyle="1" w:styleId="2GCTitles">
    <w:name w:val="2 GC Titles"/>
    <w:basedOn w:val="Heading2"/>
    <w:next w:val="3GCSubtitle"/>
    <w:qFormat/>
    <w:rsid w:val="00CE3E6F"/>
    <w:pPr>
      <w:spacing w:after="120"/>
    </w:pPr>
    <w:rPr>
      <w:b w:val="0"/>
      <w:sz w:val="40"/>
      <w:szCs w:val="40"/>
    </w:rPr>
  </w:style>
  <w:style w:type="paragraph" w:customStyle="1" w:styleId="1GCHeadings">
    <w:name w:val="1 GC Headings"/>
    <w:basedOn w:val="Heading1"/>
    <w:next w:val="2GCTitles"/>
    <w:link w:val="1GCHeadingsChar"/>
    <w:autoRedefine/>
    <w:qFormat/>
    <w:rsid w:val="006F1BFD"/>
    <w:pPr>
      <w:spacing w:before="120" w:line="240" w:lineRule="auto"/>
      <w:outlineLvl w:val="9"/>
    </w:pPr>
    <w:rPr>
      <w:rFonts w:ascii="Arial" w:hAnsi="Arial" w:cs="Arial"/>
      <w:b w:val="0"/>
      <w:noProof/>
      <w:color w:val="FFFFFF" w:themeColor="background1"/>
      <w:sz w:val="56"/>
      <w:szCs w:val="56"/>
      <w:lang w:eastAsia="en-GB"/>
    </w:rPr>
  </w:style>
  <w:style w:type="paragraph" w:customStyle="1" w:styleId="5GCSubCopy">
    <w:name w:val="5 GC Sub Copy"/>
    <w:qFormat/>
    <w:rsid w:val="00DB5F8B"/>
    <w:pPr>
      <w:spacing w:after="40"/>
    </w:pPr>
    <w:rPr>
      <w:rFonts w:ascii="Arial" w:hAnsi="Arial"/>
      <w:color w:val="333333"/>
      <w:sz w:val="18"/>
      <w:szCs w:val="16"/>
    </w:rPr>
  </w:style>
  <w:style w:type="character" w:customStyle="1" w:styleId="Heading1Char">
    <w:name w:val="Heading 1 Char"/>
    <w:basedOn w:val="DefaultParagraphFont"/>
    <w:link w:val="Heading1"/>
    <w:uiPriority w:val="9"/>
    <w:rsid w:val="00895E79"/>
    <w:rPr>
      <w:rFonts w:asciiTheme="majorHAnsi" w:eastAsiaTheme="majorEastAsia" w:hAnsiTheme="majorHAnsi" w:cstheme="majorBidi"/>
      <w:b/>
      <w:bCs/>
      <w:color w:val="4B2452" w:themeColor="accent1" w:themeShade="B5"/>
      <w:sz w:val="32"/>
      <w:szCs w:val="32"/>
    </w:rPr>
  </w:style>
  <w:style w:type="character" w:customStyle="1" w:styleId="Heading2Char">
    <w:name w:val="Heading 2 Char"/>
    <w:basedOn w:val="DefaultParagraphFont"/>
    <w:link w:val="Heading2"/>
    <w:uiPriority w:val="9"/>
    <w:rsid w:val="00895E79"/>
    <w:rPr>
      <w:rFonts w:asciiTheme="majorHAnsi" w:eastAsiaTheme="majorEastAsia" w:hAnsiTheme="majorHAnsi" w:cstheme="majorBidi"/>
      <w:b/>
      <w:bCs/>
      <w:color w:val="6B3374" w:themeColor="accent1"/>
      <w:sz w:val="26"/>
      <w:szCs w:val="26"/>
    </w:rPr>
  </w:style>
  <w:style w:type="character" w:customStyle="1" w:styleId="Heading3Char">
    <w:name w:val="Heading 3 Char"/>
    <w:basedOn w:val="DefaultParagraphFont"/>
    <w:link w:val="Heading3"/>
    <w:uiPriority w:val="9"/>
    <w:rsid w:val="00895E79"/>
    <w:rPr>
      <w:rFonts w:asciiTheme="majorHAnsi" w:eastAsiaTheme="majorEastAsia" w:hAnsiTheme="majorHAnsi" w:cstheme="majorBidi"/>
      <w:b/>
      <w:bCs/>
      <w:color w:val="6B3374" w:themeColor="accent1"/>
      <w:sz w:val="22"/>
    </w:rPr>
  </w:style>
  <w:style w:type="character" w:customStyle="1" w:styleId="Heading4Char">
    <w:name w:val="Heading 4 Char"/>
    <w:basedOn w:val="DefaultParagraphFont"/>
    <w:link w:val="Heading4"/>
    <w:uiPriority w:val="9"/>
    <w:rsid w:val="00895E79"/>
    <w:rPr>
      <w:rFonts w:asciiTheme="majorHAnsi" w:eastAsiaTheme="majorEastAsia" w:hAnsiTheme="majorHAnsi" w:cstheme="majorBidi"/>
      <w:b/>
      <w:bCs/>
      <w:i/>
      <w:iCs/>
      <w:color w:val="6B3374" w:themeColor="accent1"/>
      <w:sz w:val="22"/>
    </w:rPr>
  </w:style>
  <w:style w:type="character" w:customStyle="1" w:styleId="Heading5Char">
    <w:name w:val="Heading 5 Char"/>
    <w:basedOn w:val="DefaultParagraphFont"/>
    <w:link w:val="Heading5"/>
    <w:uiPriority w:val="9"/>
    <w:rsid w:val="00895E79"/>
    <w:rPr>
      <w:rFonts w:asciiTheme="majorHAnsi" w:eastAsiaTheme="majorEastAsia" w:hAnsiTheme="majorHAnsi" w:cstheme="majorBidi"/>
      <w:color w:val="341939" w:themeColor="accent1" w:themeShade="7F"/>
      <w:sz w:val="22"/>
    </w:rPr>
  </w:style>
  <w:style w:type="paragraph" w:styleId="TOCHeading">
    <w:name w:val="TOC Heading"/>
    <w:basedOn w:val="Heading1"/>
    <w:next w:val="Normal"/>
    <w:uiPriority w:val="39"/>
    <w:unhideWhenUsed/>
    <w:rsid w:val="008854A0"/>
    <w:pPr>
      <w:spacing w:line="276" w:lineRule="auto"/>
      <w:outlineLvl w:val="9"/>
    </w:pPr>
    <w:rPr>
      <w:color w:val="4F2656" w:themeColor="accent1" w:themeShade="BF"/>
      <w:sz w:val="28"/>
      <w:szCs w:val="28"/>
    </w:rPr>
  </w:style>
  <w:style w:type="paragraph" w:styleId="TOC1">
    <w:name w:val="toc 1"/>
    <w:basedOn w:val="2GCTitles"/>
    <w:next w:val="3GCSubtitle"/>
    <w:autoRedefine/>
    <w:uiPriority w:val="39"/>
    <w:unhideWhenUsed/>
    <w:rsid w:val="008854A0"/>
    <w:pPr>
      <w:spacing w:before="120" w:after="0"/>
    </w:pPr>
  </w:style>
  <w:style w:type="paragraph" w:styleId="TOC2">
    <w:name w:val="toc 2"/>
    <w:basedOn w:val="3GCSubtitle"/>
    <w:next w:val="Normal"/>
    <w:autoRedefine/>
    <w:uiPriority w:val="39"/>
    <w:unhideWhenUsed/>
    <w:rsid w:val="008854A0"/>
    <w:pPr>
      <w:spacing w:after="0"/>
      <w:ind w:left="220"/>
    </w:pPr>
    <w:rPr>
      <w:b/>
      <w:szCs w:val="22"/>
    </w:rPr>
  </w:style>
  <w:style w:type="paragraph" w:styleId="TOC3">
    <w:name w:val="toc 3"/>
    <w:basedOn w:val="Normal"/>
    <w:next w:val="Normal"/>
    <w:autoRedefine/>
    <w:uiPriority w:val="39"/>
    <w:unhideWhenUsed/>
    <w:rsid w:val="008854A0"/>
    <w:pPr>
      <w:spacing w:after="0"/>
      <w:ind w:left="440"/>
    </w:pPr>
    <w:rPr>
      <w:szCs w:val="22"/>
    </w:rPr>
  </w:style>
  <w:style w:type="paragraph" w:styleId="TOC4">
    <w:name w:val="toc 4"/>
    <w:basedOn w:val="Normal"/>
    <w:next w:val="Normal"/>
    <w:autoRedefine/>
    <w:uiPriority w:val="39"/>
    <w:unhideWhenUsed/>
    <w:rsid w:val="008854A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854A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854A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854A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854A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854A0"/>
    <w:pPr>
      <w:spacing w:after="0"/>
      <w:ind w:left="1760"/>
    </w:pPr>
    <w:rPr>
      <w:rFonts w:asciiTheme="minorHAnsi" w:hAnsiTheme="minorHAnsi"/>
      <w:sz w:val="20"/>
      <w:szCs w:val="20"/>
    </w:rPr>
  </w:style>
  <w:style w:type="table" w:styleId="TableGrid">
    <w:name w:val="Table Grid"/>
    <w:aliases w:val="Stepchange table"/>
    <w:basedOn w:val="TableNormal"/>
    <w:uiPriority w:val="59"/>
    <w:rsid w:val="00812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EEEEEE" w:themeFill="background2"/>
        <w:vAlign w:val="center"/>
      </w:tcPr>
    </w:tblStylePr>
  </w:style>
  <w:style w:type="table" w:styleId="LightList-Accent1">
    <w:name w:val="Light List Accent 1"/>
    <w:basedOn w:val="TableNormal"/>
    <w:uiPriority w:val="61"/>
    <w:rsid w:val="00F02F5D"/>
    <w:tblPr>
      <w:tblStyleRowBandSize w:val="1"/>
      <w:tblStyleColBandSize w:val="1"/>
      <w:tblBorders>
        <w:top w:val="single" w:sz="8" w:space="0" w:color="6B3374" w:themeColor="accent1"/>
        <w:left w:val="single" w:sz="8" w:space="0" w:color="6B3374" w:themeColor="accent1"/>
        <w:bottom w:val="single" w:sz="8" w:space="0" w:color="6B3374" w:themeColor="accent1"/>
        <w:right w:val="single" w:sz="8" w:space="0" w:color="6B3374" w:themeColor="accent1"/>
      </w:tblBorders>
    </w:tblPr>
    <w:tblStylePr w:type="firstRow">
      <w:pPr>
        <w:spacing w:before="0" w:after="0" w:line="240" w:lineRule="auto"/>
      </w:pPr>
      <w:rPr>
        <w:b/>
        <w:bCs/>
        <w:color w:val="FFFFFF" w:themeColor="background1"/>
      </w:rPr>
      <w:tblPr/>
      <w:tcPr>
        <w:shd w:val="clear" w:color="auto" w:fill="6B3374" w:themeFill="accent1"/>
      </w:tcPr>
    </w:tblStylePr>
    <w:tblStylePr w:type="lastRow">
      <w:pPr>
        <w:spacing w:before="0" w:after="0" w:line="240" w:lineRule="auto"/>
      </w:pPr>
      <w:rPr>
        <w:b/>
        <w:bCs/>
      </w:rPr>
      <w:tblPr/>
      <w:tcPr>
        <w:tcBorders>
          <w:top w:val="double" w:sz="6" w:space="0" w:color="6B3374" w:themeColor="accent1"/>
          <w:left w:val="single" w:sz="8" w:space="0" w:color="6B3374" w:themeColor="accent1"/>
          <w:bottom w:val="single" w:sz="8" w:space="0" w:color="6B3374" w:themeColor="accent1"/>
          <w:right w:val="single" w:sz="8" w:space="0" w:color="6B3374" w:themeColor="accent1"/>
        </w:tcBorders>
      </w:tcPr>
    </w:tblStylePr>
    <w:tblStylePr w:type="firstCol">
      <w:rPr>
        <w:b/>
        <w:bCs/>
      </w:rPr>
    </w:tblStylePr>
    <w:tblStylePr w:type="lastCol">
      <w:rPr>
        <w:b/>
        <w:bCs/>
      </w:rPr>
    </w:tblStylePr>
    <w:tblStylePr w:type="band1Vert">
      <w:tblPr/>
      <w:tcPr>
        <w:tcBorders>
          <w:top w:val="single" w:sz="8" w:space="0" w:color="6B3374" w:themeColor="accent1"/>
          <w:left w:val="single" w:sz="8" w:space="0" w:color="6B3374" w:themeColor="accent1"/>
          <w:bottom w:val="single" w:sz="8" w:space="0" w:color="6B3374" w:themeColor="accent1"/>
          <w:right w:val="single" w:sz="8" w:space="0" w:color="6B3374" w:themeColor="accent1"/>
        </w:tcBorders>
      </w:tcPr>
    </w:tblStylePr>
    <w:tblStylePr w:type="band1Horz">
      <w:tblPr/>
      <w:tcPr>
        <w:tcBorders>
          <w:top w:val="single" w:sz="8" w:space="0" w:color="6B3374" w:themeColor="accent1"/>
          <w:left w:val="single" w:sz="8" w:space="0" w:color="6B3374" w:themeColor="accent1"/>
          <w:bottom w:val="single" w:sz="8" w:space="0" w:color="6B3374" w:themeColor="accent1"/>
          <w:right w:val="single" w:sz="8" w:space="0" w:color="6B3374" w:themeColor="accent1"/>
        </w:tcBorders>
      </w:tcPr>
    </w:tblStylePr>
  </w:style>
  <w:style w:type="table" w:styleId="MediumShading1-Accent1">
    <w:name w:val="Medium Shading 1 Accent 1"/>
    <w:basedOn w:val="TableNormal"/>
    <w:uiPriority w:val="63"/>
    <w:rsid w:val="00F02F5D"/>
    <w:tblPr>
      <w:tblStyleRowBandSize w:val="1"/>
      <w:tblStyleColBandSize w:val="1"/>
      <w:tblBorders>
        <w:top w:val="single" w:sz="8" w:space="0" w:color="A14DAF" w:themeColor="accent1" w:themeTint="BF"/>
        <w:left w:val="single" w:sz="8" w:space="0" w:color="A14DAF" w:themeColor="accent1" w:themeTint="BF"/>
        <w:bottom w:val="single" w:sz="8" w:space="0" w:color="A14DAF" w:themeColor="accent1" w:themeTint="BF"/>
        <w:right w:val="single" w:sz="8" w:space="0" w:color="A14DAF" w:themeColor="accent1" w:themeTint="BF"/>
        <w:insideH w:val="single" w:sz="8" w:space="0" w:color="A14DAF" w:themeColor="accent1" w:themeTint="BF"/>
      </w:tblBorders>
    </w:tblPr>
    <w:tblStylePr w:type="firstRow">
      <w:pPr>
        <w:spacing w:before="0" w:after="0" w:line="240" w:lineRule="auto"/>
      </w:pPr>
      <w:rPr>
        <w:b/>
        <w:bCs/>
        <w:color w:val="FFFFFF" w:themeColor="background1"/>
      </w:rPr>
      <w:tblPr/>
      <w:tcPr>
        <w:tcBorders>
          <w:top w:val="single" w:sz="8" w:space="0" w:color="A14DAF" w:themeColor="accent1" w:themeTint="BF"/>
          <w:left w:val="single" w:sz="8" w:space="0" w:color="A14DAF" w:themeColor="accent1" w:themeTint="BF"/>
          <w:bottom w:val="single" w:sz="8" w:space="0" w:color="A14DAF" w:themeColor="accent1" w:themeTint="BF"/>
          <w:right w:val="single" w:sz="8" w:space="0" w:color="A14DAF" w:themeColor="accent1" w:themeTint="BF"/>
          <w:insideH w:val="nil"/>
          <w:insideV w:val="nil"/>
        </w:tcBorders>
        <w:shd w:val="clear" w:color="auto" w:fill="6B3374" w:themeFill="accent1"/>
      </w:tcPr>
    </w:tblStylePr>
    <w:tblStylePr w:type="lastRow">
      <w:pPr>
        <w:spacing w:before="0" w:after="0" w:line="240" w:lineRule="auto"/>
      </w:pPr>
      <w:rPr>
        <w:b/>
        <w:bCs/>
      </w:rPr>
      <w:tblPr/>
      <w:tcPr>
        <w:tcBorders>
          <w:top w:val="double" w:sz="6" w:space="0" w:color="A14DAF" w:themeColor="accent1" w:themeTint="BF"/>
          <w:left w:val="single" w:sz="8" w:space="0" w:color="A14DAF" w:themeColor="accent1" w:themeTint="BF"/>
          <w:bottom w:val="single" w:sz="8" w:space="0" w:color="A14DAF" w:themeColor="accent1" w:themeTint="BF"/>
          <w:right w:val="single" w:sz="8" w:space="0" w:color="A14D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C3E5" w:themeFill="accent1" w:themeFillTint="3F"/>
      </w:tcPr>
    </w:tblStylePr>
    <w:tblStylePr w:type="band1Horz">
      <w:tblPr/>
      <w:tcPr>
        <w:tcBorders>
          <w:insideH w:val="nil"/>
          <w:insideV w:val="nil"/>
        </w:tcBorders>
        <w:shd w:val="clear" w:color="auto" w:fill="E0C3E5"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F02F5D"/>
    <w:rPr>
      <w:color w:val="333333" w:themeColor="text1"/>
    </w:rPr>
    <w:tblPr>
      <w:tblStyleRowBandSize w:val="1"/>
      <w:tblStyleColBandSize w:val="1"/>
      <w:tblBorders>
        <w:top w:val="single" w:sz="8" w:space="0" w:color="6B3374" w:themeColor="accent1"/>
        <w:bottom w:val="single" w:sz="8" w:space="0" w:color="6B3374" w:themeColor="accent1"/>
      </w:tblBorders>
    </w:tblPr>
    <w:tblStylePr w:type="firstRow">
      <w:rPr>
        <w:rFonts w:asciiTheme="majorHAnsi" w:eastAsiaTheme="majorEastAsia" w:hAnsiTheme="majorHAnsi" w:cstheme="majorBidi"/>
      </w:rPr>
      <w:tblPr/>
      <w:tcPr>
        <w:tcBorders>
          <w:top w:val="nil"/>
          <w:bottom w:val="single" w:sz="8" w:space="0" w:color="6B3374" w:themeColor="accent1"/>
        </w:tcBorders>
      </w:tcPr>
    </w:tblStylePr>
    <w:tblStylePr w:type="lastRow">
      <w:rPr>
        <w:b/>
        <w:bCs/>
        <w:color w:val="AAAAAA" w:themeColor="text2"/>
      </w:rPr>
      <w:tblPr/>
      <w:tcPr>
        <w:tcBorders>
          <w:top w:val="single" w:sz="8" w:space="0" w:color="6B3374" w:themeColor="accent1"/>
          <w:bottom w:val="single" w:sz="8" w:space="0" w:color="6B3374" w:themeColor="accent1"/>
        </w:tcBorders>
      </w:tcPr>
    </w:tblStylePr>
    <w:tblStylePr w:type="firstCol">
      <w:rPr>
        <w:b/>
        <w:bCs/>
      </w:rPr>
    </w:tblStylePr>
    <w:tblStylePr w:type="lastCol">
      <w:rPr>
        <w:b/>
        <w:bCs/>
      </w:rPr>
      <w:tblPr/>
      <w:tcPr>
        <w:tcBorders>
          <w:top w:val="single" w:sz="8" w:space="0" w:color="6B3374" w:themeColor="accent1"/>
          <w:bottom w:val="single" w:sz="8" w:space="0" w:color="6B3374" w:themeColor="accent1"/>
        </w:tcBorders>
      </w:tcPr>
    </w:tblStylePr>
    <w:tblStylePr w:type="band1Vert">
      <w:tblPr/>
      <w:tcPr>
        <w:shd w:val="clear" w:color="auto" w:fill="E0C3E5" w:themeFill="accent1" w:themeFillTint="3F"/>
      </w:tcPr>
    </w:tblStylePr>
    <w:tblStylePr w:type="band1Horz">
      <w:tblPr/>
      <w:tcPr>
        <w:shd w:val="clear" w:color="auto" w:fill="E0C3E5" w:themeFill="accent1" w:themeFillTint="3F"/>
      </w:tcPr>
    </w:tblStylePr>
  </w:style>
  <w:style w:type="table" w:styleId="LightGrid-Accent1">
    <w:name w:val="Light Grid Accent 1"/>
    <w:basedOn w:val="TableNormal"/>
    <w:uiPriority w:val="62"/>
    <w:rsid w:val="00F02F5D"/>
    <w:tblPr>
      <w:tblStyleRowBandSize w:val="1"/>
      <w:tblStyleColBandSize w:val="1"/>
      <w:tblBorders>
        <w:top w:val="single" w:sz="8" w:space="0" w:color="6B3374" w:themeColor="accent1"/>
        <w:left w:val="single" w:sz="8" w:space="0" w:color="6B3374" w:themeColor="accent1"/>
        <w:bottom w:val="single" w:sz="8" w:space="0" w:color="6B3374" w:themeColor="accent1"/>
        <w:right w:val="single" w:sz="8" w:space="0" w:color="6B3374" w:themeColor="accent1"/>
        <w:insideH w:val="single" w:sz="8" w:space="0" w:color="6B3374" w:themeColor="accent1"/>
        <w:insideV w:val="single" w:sz="8" w:space="0" w:color="6B337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3374" w:themeColor="accent1"/>
          <w:left w:val="single" w:sz="8" w:space="0" w:color="6B3374" w:themeColor="accent1"/>
          <w:bottom w:val="single" w:sz="18" w:space="0" w:color="6B3374" w:themeColor="accent1"/>
          <w:right w:val="single" w:sz="8" w:space="0" w:color="6B3374" w:themeColor="accent1"/>
          <w:insideH w:val="nil"/>
          <w:insideV w:val="single" w:sz="8" w:space="0" w:color="6B337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3374" w:themeColor="accent1"/>
          <w:left w:val="single" w:sz="8" w:space="0" w:color="6B3374" w:themeColor="accent1"/>
          <w:bottom w:val="single" w:sz="8" w:space="0" w:color="6B3374" w:themeColor="accent1"/>
          <w:right w:val="single" w:sz="8" w:space="0" w:color="6B3374" w:themeColor="accent1"/>
          <w:insideH w:val="nil"/>
          <w:insideV w:val="single" w:sz="8" w:space="0" w:color="6B337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3374" w:themeColor="accent1"/>
          <w:left w:val="single" w:sz="8" w:space="0" w:color="6B3374" w:themeColor="accent1"/>
          <w:bottom w:val="single" w:sz="8" w:space="0" w:color="6B3374" w:themeColor="accent1"/>
          <w:right w:val="single" w:sz="8" w:space="0" w:color="6B3374" w:themeColor="accent1"/>
        </w:tcBorders>
      </w:tcPr>
    </w:tblStylePr>
    <w:tblStylePr w:type="band1Vert">
      <w:tblPr/>
      <w:tcPr>
        <w:tcBorders>
          <w:top w:val="single" w:sz="8" w:space="0" w:color="6B3374" w:themeColor="accent1"/>
          <w:left w:val="single" w:sz="8" w:space="0" w:color="6B3374" w:themeColor="accent1"/>
          <w:bottom w:val="single" w:sz="8" w:space="0" w:color="6B3374" w:themeColor="accent1"/>
          <w:right w:val="single" w:sz="8" w:space="0" w:color="6B3374" w:themeColor="accent1"/>
        </w:tcBorders>
        <w:shd w:val="clear" w:color="auto" w:fill="E0C3E5" w:themeFill="accent1" w:themeFillTint="3F"/>
      </w:tcPr>
    </w:tblStylePr>
    <w:tblStylePr w:type="band1Horz">
      <w:tblPr/>
      <w:tcPr>
        <w:tcBorders>
          <w:top w:val="single" w:sz="8" w:space="0" w:color="6B3374" w:themeColor="accent1"/>
          <w:left w:val="single" w:sz="8" w:space="0" w:color="6B3374" w:themeColor="accent1"/>
          <w:bottom w:val="single" w:sz="8" w:space="0" w:color="6B3374" w:themeColor="accent1"/>
          <w:right w:val="single" w:sz="8" w:space="0" w:color="6B3374" w:themeColor="accent1"/>
          <w:insideV w:val="single" w:sz="8" w:space="0" w:color="6B3374" w:themeColor="accent1"/>
        </w:tcBorders>
        <w:shd w:val="clear" w:color="auto" w:fill="E0C3E5" w:themeFill="accent1" w:themeFillTint="3F"/>
      </w:tcPr>
    </w:tblStylePr>
    <w:tblStylePr w:type="band2Horz">
      <w:tblPr/>
      <w:tcPr>
        <w:tcBorders>
          <w:top w:val="single" w:sz="8" w:space="0" w:color="6B3374" w:themeColor="accent1"/>
          <w:left w:val="single" w:sz="8" w:space="0" w:color="6B3374" w:themeColor="accent1"/>
          <w:bottom w:val="single" w:sz="8" w:space="0" w:color="6B3374" w:themeColor="accent1"/>
          <w:right w:val="single" w:sz="8" w:space="0" w:color="6B3374" w:themeColor="accent1"/>
          <w:insideV w:val="single" w:sz="8" w:space="0" w:color="6B3374" w:themeColor="accent1"/>
        </w:tcBorders>
      </w:tcPr>
    </w:tblStylePr>
  </w:style>
  <w:style w:type="paragraph" w:styleId="Header">
    <w:name w:val="header"/>
    <w:basedOn w:val="Normal"/>
    <w:link w:val="HeaderChar"/>
    <w:uiPriority w:val="99"/>
    <w:unhideWhenUsed/>
    <w:rsid w:val="00062B70"/>
    <w:pPr>
      <w:tabs>
        <w:tab w:val="center" w:pos="4320"/>
        <w:tab w:val="right" w:pos="8640"/>
      </w:tabs>
      <w:spacing w:after="0"/>
    </w:pPr>
  </w:style>
  <w:style w:type="character" w:customStyle="1" w:styleId="HeaderChar">
    <w:name w:val="Header Char"/>
    <w:basedOn w:val="DefaultParagraphFont"/>
    <w:link w:val="Header"/>
    <w:uiPriority w:val="99"/>
    <w:rsid w:val="00062B70"/>
    <w:rPr>
      <w:rFonts w:ascii="Arial" w:hAnsi="Arial"/>
      <w:sz w:val="22"/>
    </w:rPr>
  </w:style>
  <w:style w:type="paragraph" w:styleId="Footer">
    <w:name w:val="footer"/>
    <w:basedOn w:val="Normal"/>
    <w:link w:val="FooterChar"/>
    <w:uiPriority w:val="99"/>
    <w:unhideWhenUsed/>
    <w:rsid w:val="00062B70"/>
    <w:pPr>
      <w:tabs>
        <w:tab w:val="center" w:pos="4320"/>
        <w:tab w:val="right" w:pos="8640"/>
      </w:tabs>
      <w:spacing w:after="0"/>
    </w:pPr>
  </w:style>
  <w:style w:type="character" w:customStyle="1" w:styleId="FooterChar">
    <w:name w:val="Footer Char"/>
    <w:basedOn w:val="DefaultParagraphFont"/>
    <w:link w:val="Footer"/>
    <w:uiPriority w:val="99"/>
    <w:rsid w:val="00062B70"/>
    <w:rPr>
      <w:rFonts w:ascii="Arial" w:hAnsi="Arial"/>
      <w:sz w:val="22"/>
    </w:rPr>
  </w:style>
  <w:style w:type="paragraph" w:customStyle="1" w:styleId="InformationTitle">
    <w:name w:val="Information Title"/>
    <w:basedOn w:val="Normal"/>
    <w:qFormat/>
    <w:rsid w:val="008B67A5"/>
    <w:rPr>
      <w:b/>
    </w:rPr>
  </w:style>
  <w:style w:type="table" w:styleId="MediumShading1-Accent2">
    <w:name w:val="Medium Shading 1 Accent 2"/>
    <w:basedOn w:val="TableNormal"/>
    <w:uiPriority w:val="63"/>
    <w:rsid w:val="00812683"/>
    <w:rPr>
      <w:rFonts w:ascii="Arial" w:hAnsi="Arial"/>
      <w:sz w:val="22"/>
    </w:rPr>
    <w:tblPr>
      <w:tblStyleRowBandSize w:val="1"/>
      <w:tblStyleColBandSize w:val="1"/>
      <w:tblBorders>
        <w:top w:val="single" w:sz="8" w:space="0" w:color="EA7E54" w:themeColor="accent2" w:themeTint="BF"/>
        <w:left w:val="single" w:sz="8" w:space="0" w:color="EA7E54" w:themeColor="accent2" w:themeTint="BF"/>
        <w:bottom w:val="single" w:sz="8" w:space="0" w:color="EA7E54" w:themeColor="accent2" w:themeTint="BF"/>
        <w:right w:val="single" w:sz="8" w:space="0" w:color="EA7E54" w:themeColor="accent2" w:themeTint="BF"/>
        <w:insideH w:val="single" w:sz="8" w:space="0" w:color="EA7E54" w:themeColor="accent2" w:themeTint="BF"/>
      </w:tblBorders>
    </w:tblPr>
    <w:tblStylePr w:type="firstRow">
      <w:pPr>
        <w:spacing w:before="0" w:after="0" w:line="240" w:lineRule="auto"/>
      </w:pPr>
      <w:rPr>
        <w:rFonts w:ascii="Arial" w:hAnsi="Arial"/>
        <w:b/>
        <w:bCs/>
        <w:color w:val="FFFFFF" w:themeColor="background1"/>
        <w:sz w:val="22"/>
      </w:rPr>
      <w:tblPr/>
      <w:tcPr>
        <w:tcBorders>
          <w:top w:val="single" w:sz="8" w:space="0" w:color="EA7E54" w:themeColor="accent2" w:themeTint="BF"/>
          <w:left w:val="single" w:sz="8" w:space="0" w:color="EA7E54" w:themeColor="accent2" w:themeTint="BF"/>
          <w:bottom w:val="single" w:sz="8" w:space="0" w:color="EA7E54" w:themeColor="accent2" w:themeTint="BF"/>
          <w:right w:val="single" w:sz="8" w:space="0" w:color="EA7E54" w:themeColor="accent2" w:themeTint="BF"/>
          <w:insideH w:val="nil"/>
          <w:insideV w:val="nil"/>
        </w:tcBorders>
        <w:shd w:val="clear" w:color="auto" w:fill="E4541B" w:themeFill="accent2"/>
      </w:tcPr>
    </w:tblStylePr>
    <w:tblStylePr w:type="lastRow">
      <w:pPr>
        <w:spacing w:before="0" w:after="0" w:line="240" w:lineRule="auto"/>
      </w:pPr>
      <w:rPr>
        <w:b/>
        <w:bCs/>
      </w:rPr>
      <w:tblPr/>
      <w:tcPr>
        <w:tcBorders>
          <w:top w:val="double" w:sz="6" w:space="0" w:color="EA7E54" w:themeColor="accent2" w:themeTint="BF"/>
          <w:left w:val="single" w:sz="8" w:space="0" w:color="EA7E54" w:themeColor="accent2" w:themeTint="BF"/>
          <w:bottom w:val="single" w:sz="8" w:space="0" w:color="EA7E54" w:themeColor="accent2" w:themeTint="BF"/>
          <w:right w:val="single" w:sz="8" w:space="0" w:color="EA7E5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D4C6" w:themeFill="accent2" w:themeFillTint="3F"/>
      </w:tcPr>
    </w:tblStylePr>
    <w:tblStylePr w:type="band1Horz">
      <w:tblPr/>
      <w:tcPr>
        <w:tcBorders>
          <w:insideH w:val="nil"/>
          <w:insideV w:val="nil"/>
        </w:tcBorders>
        <w:shd w:val="clear" w:color="auto" w:fill="F8D4C6"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DB5F8B"/>
    <w:tblPr>
      <w:tblStyleRowBandSize w:val="1"/>
      <w:tblStyleColBandSize w:val="1"/>
      <w:tblBorders>
        <w:top w:val="single" w:sz="8" w:space="0" w:color="E4541B" w:themeColor="accent2"/>
        <w:left w:val="single" w:sz="8" w:space="0" w:color="E4541B" w:themeColor="accent2"/>
        <w:bottom w:val="single" w:sz="8" w:space="0" w:color="E4541B" w:themeColor="accent2"/>
        <w:right w:val="single" w:sz="8" w:space="0" w:color="E4541B" w:themeColor="accent2"/>
        <w:insideH w:val="single" w:sz="8" w:space="0" w:color="E4541B" w:themeColor="accent2"/>
        <w:insideV w:val="single" w:sz="8" w:space="0" w:color="E4541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541B" w:themeColor="accent2"/>
          <w:left w:val="single" w:sz="8" w:space="0" w:color="E4541B" w:themeColor="accent2"/>
          <w:bottom w:val="single" w:sz="18" w:space="0" w:color="E4541B" w:themeColor="accent2"/>
          <w:right w:val="single" w:sz="8" w:space="0" w:color="E4541B" w:themeColor="accent2"/>
          <w:insideH w:val="nil"/>
          <w:insideV w:val="single" w:sz="8" w:space="0" w:color="E4541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541B" w:themeColor="accent2"/>
          <w:left w:val="single" w:sz="8" w:space="0" w:color="E4541B" w:themeColor="accent2"/>
          <w:bottom w:val="single" w:sz="8" w:space="0" w:color="E4541B" w:themeColor="accent2"/>
          <w:right w:val="single" w:sz="8" w:space="0" w:color="E4541B" w:themeColor="accent2"/>
          <w:insideH w:val="nil"/>
          <w:insideV w:val="single" w:sz="8" w:space="0" w:color="E4541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541B" w:themeColor="accent2"/>
          <w:left w:val="single" w:sz="8" w:space="0" w:color="E4541B" w:themeColor="accent2"/>
          <w:bottom w:val="single" w:sz="8" w:space="0" w:color="E4541B" w:themeColor="accent2"/>
          <w:right w:val="single" w:sz="8" w:space="0" w:color="E4541B" w:themeColor="accent2"/>
        </w:tcBorders>
      </w:tcPr>
    </w:tblStylePr>
    <w:tblStylePr w:type="band1Vert">
      <w:tblPr/>
      <w:tcPr>
        <w:tcBorders>
          <w:top w:val="single" w:sz="8" w:space="0" w:color="E4541B" w:themeColor="accent2"/>
          <w:left w:val="single" w:sz="8" w:space="0" w:color="E4541B" w:themeColor="accent2"/>
          <w:bottom w:val="single" w:sz="8" w:space="0" w:color="E4541B" w:themeColor="accent2"/>
          <w:right w:val="single" w:sz="8" w:space="0" w:color="E4541B" w:themeColor="accent2"/>
        </w:tcBorders>
        <w:shd w:val="clear" w:color="auto" w:fill="F8D4C6" w:themeFill="accent2" w:themeFillTint="3F"/>
      </w:tcPr>
    </w:tblStylePr>
    <w:tblStylePr w:type="band1Horz">
      <w:tblPr/>
      <w:tcPr>
        <w:tcBorders>
          <w:top w:val="single" w:sz="8" w:space="0" w:color="E4541B" w:themeColor="accent2"/>
          <w:left w:val="single" w:sz="8" w:space="0" w:color="E4541B" w:themeColor="accent2"/>
          <w:bottom w:val="single" w:sz="8" w:space="0" w:color="E4541B" w:themeColor="accent2"/>
          <w:right w:val="single" w:sz="8" w:space="0" w:color="E4541B" w:themeColor="accent2"/>
          <w:insideV w:val="single" w:sz="8" w:space="0" w:color="E4541B" w:themeColor="accent2"/>
        </w:tcBorders>
        <w:shd w:val="clear" w:color="auto" w:fill="F8D4C6" w:themeFill="accent2" w:themeFillTint="3F"/>
      </w:tcPr>
    </w:tblStylePr>
    <w:tblStylePr w:type="band2Horz">
      <w:tblPr/>
      <w:tcPr>
        <w:tcBorders>
          <w:top w:val="single" w:sz="8" w:space="0" w:color="E4541B" w:themeColor="accent2"/>
          <w:left w:val="single" w:sz="8" w:space="0" w:color="E4541B" w:themeColor="accent2"/>
          <w:bottom w:val="single" w:sz="8" w:space="0" w:color="E4541B" w:themeColor="accent2"/>
          <w:right w:val="single" w:sz="8" w:space="0" w:color="E4541B" w:themeColor="accent2"/>
          <w:insideV w:val="single" w:sz="8" w:space="0" w:color="E4541B" w:themeColor="accent2"/>
        </w:tcBorders>
      </w:tcPr>
    </w:tblStylePr>
  </w:style>
  <w:style w:type="paragraph" w:styleId="IntenseQuote">
    <w:name w:val="Intense Quote"/>
    <w:basedOn w:val="Normal"/>
    <w:next w:val="Normal"/>
    <w:link w:val="IntenseQuoteChar"/>
    <w:uiPriority w:val="30"/>
    <w:rsid w:val="00733360"/>
    <w:pPr>
      <w:pBdr>
        <w:bottom w:val="single" w:sz="4" w:space="4" w:color="6B3374" w:themeColor="accent1"/>
      </w:pBdr>
      <w:spacing w:before="200" w:after="280"/>
      <w:ind w:left="936" w:right="936"/>
    </w:pPr>
    <w:rPr>
      <w:b/>
      <w:bCs/>
      <w:i/>
      <w:iCs/>
      <w:color w:val="6B3374" w:themeColor="accent1"/>
    </w:rPr>
  </w:style>
  <w:style w:type="character" w:customStyle="1" w:styleId="IntenseQuoteChar">
    <w:name w:val="Intense Quote Char"/>
    <w:basedOn w:val="DefaultParagraphFont"/>
    <w:link w:val="IntenseQuote"/>
    <w:uiPriority w:val="30"/>
    <w:rsid w:val="00733360"/>
    <w:rPr>
      <w:rFonts w:ascii="Arial" w:hAnsi="Arial"/>
      <w:b/>
      <w:bCs/>
      <w:i/>
      <w:iCs/>
      <w:color w:val="6B3374" w:themeColor="accent1"/>
      <w:sz w:val="22"/>
    </w:rPr>
  </w:style>
  <w:style w:type="paragraph" w:styleId="NoSpacing">
    <w:name w:val="No Spacing"/>
    <w:link w:val="NoSpacingChar"/>
    <w:uiPriority w:val="1"/>
    <w:qFormat/>
    <w:rsid w:val="00CE20A3"/>
    <w:rPr>
      <w:sz w:val="22"/>
      <w:szCs w:val="22"/>
      <w:lang w:val="en-US" w:eastAsia="ja-JP"/>
    </w:rPr>
  </w:style>
  <w:style w:type="character" w:customStyle="1" w:styleId="NoSpacingChar">
    <w:name w:val="No Spacing Char"/>
    <w:basedOn w:val="DefaultParagraphFont"/>
    <w:link w:val="NoSpacing"/>
    <w:uiPriority w:val="1"/>
    <w:rsid w:val="00CE20A3"/>
    <w:rPr>
      <w:sz w:val="22"/>
      <w:szCs w:val="22"/>
      <w:lang w:val="en-US" w:eastAsia="ja-JP"/>
    </w:rPr>
  </w:style>
  <w:style w:type="paragraph" w:styleId="NormalWeb">
    <w:name w:val="Normal (Web)"/>
    <w:basedOn w:val="Normal"/>
    <w:uiPriority w:val="99"/>
    <w:unhideWhenUsed/>
    <w:rsid w:val="00CE20A3"/>
    <w:pPr>
      <w:spacing w:before="100" w:beforeAutospacing="1" w:after="100" w:afterAutospacing="1"/>
    </w:pPr>
    <w:rPr>
      <w:rFonts w:ascii="Times New Roman" w:eastAsia="Times New Roman" w:hAnsi="Times New Roman" w:cs="Times New Roman"/>
      <w:color w:val="auto"/>
      <w:sz w:val="24"/>
      <w:lang w:eastAsia="en-GB"/>
    </w:rPr>
  </w:style>
  <w:style w:type="paragraph" w:customStyle="1" w:styleId="Tabletext">
    <w:name w:val="Table text"/>
    <w:basedOn w:val="Normal"/>
    <w:link w:val="TabletextChar"/>
    <w:qFormat/>
    <w:rsid w:val="005D5607"/>
    <w:pPr>
      <w:spacing w:before="120"/>
    </w:pPr>
  </w:style>
  <w:style w:type="character" w:customStyle="1" w:styleId="TabletextChar">
    <w:name w:val="Table text Char"/>
    <w:basedOn w:val="DefaultParagraphFont"/>
    <w:link w:val="Tabletext"/>
    <w:rsid w:val="005D5607"/>
    <w:rPr>
      <w:rFonts w:ascii="Arial" w:hAnsi="Arial"/>
      <w:color w:val="333333"/>
      <w:sz w:val="22"/>
    </w:rPr>
  </w:style>
  <w:style w:type="paragraph" w:customStyle="1" w:styleId="masthead">
    <w:name w:val="masthead"/>
    <w:basedOn w:val="1GCHeadings"/>
    <w:link w:val="mastheadChar"/>
    <w:qFormat/>
    <w:rsid w:val="003659EA"/>
    <w:rPr>
      <w:sz w:val="40"/>
    </w:rPr>
  </w:style>
  <w:style w:type="character" w:customStyle="1" w:styleId="1GCHeadingsChar">
    <w:name w:val="1 GC Headings Char"/>
    <w:basedOn w:val="DefaultParagraphFont"/>
    <w:link w:val="1GCHeadings"/>
    <w:rsid w:val="006F1BFD"/>
    <w:rPr>
      <w:rFonts w:ascii="Arial" w:eastAsiaTheme="majorEastAsia" w:hAnsi="Arial" w:cs="Arial"/>
      <w:bCs/>
      <w:noProof/>
      <w:color w:val="FFFFFF" w:themeColor="background1"/>
      <w:sz w:val="56"/>
      <w:szCs w:val="56"/>
      <w:lang w:eastAsia="en-GB"/>
    </w:rPr>
  </w:style>
  <w:style w:type="character" w:customStyle="1" w:styleId="mastheadChar">
    <w:name w:val="masthead Char"/>
    <w:basedOn w:val="1GCHeadingsChar"/>
    <w:link w:val="masthead"/>
    <w:rsid w:val="003659EA"/>
    <w:rPr>
      <w:rFonts w:ascii="Muro" w:eastAsiaTheme="majorEastAsia" w:hAnsi="Muro" w:cstheme="majorBidi"/>
      <w:bCs/>
      <w:noProof/>
      <w:color w:val="6B3374" w:themeColor="accent1"/>
      <w:sz w:val="40"/>
      <w:szCs w:val="72"/>
      <w:lang w:eastAsia="en-GB"/>
    </w:rPr>
  </w:style>
  <w:style w:type="paragraph" w:customStyle="1" w:styleId="PageNumber1">
    <w:name w:val="Page Number1"/>
    <w:basedOn w:val="Normal"/>
    <w:qFormat/>
    <w:rsid w:val="00653127"/>
    <w:rPr>
      <w:b/>
      <w:color w:val="FFFFFF" w:themeColor="background1"/>
    </w:rPr>
  </w:style>
  <w:style w:type="table" w:customStyle="1" w:styleId="Style1">
    <w:name w:val="Style1"/>
    <w:basedOn w:val="TableNormal"/>
    <w:uiPriority w:val="99"/>
    <w:rsid w:val="00812683"/>
    <w:tblPr/>
  </w:style>
  <w:style w:type="paragraph" w:styleId="ListParagraph">
    <w:name w:val="List Paragraph"/>
    <w:basedOn w:val="Normal"/>
    <w:uiPriority w:val="34"/>
    <w:rsid w:val="00943FF1"/>
    <w:pPr>
      <w:ind w:left="720"/>
      <w:contextualSpacing/>
    </w:pPr>
  </w:style>
  <w:style w:type="character" w:styleId="Hyperlink">
    <w:name w:val="Hyperlink"/>
    <w:basedOn w:val="DefaultParagraphFont"/>
    <w:uiPriority w:val="99"/>
    <w:unhideWhenUsed/>
    <w:rsid w:val="00266115"/>
    <w:rPr>
      <w:color w:val="6B3374" w:themeColor="hyperlink"/>
      <w:u w:val="single"/>
    </w:rPr>
  </w:style>
  <w:style w:type="character" w:customStyle="1" w:styleId="UnresolvedMention1">
    <w:name w:val="Unresolved Mention1"/>
    <w:basedOn w:val="DefaultParagraphFont"/>
    <w:uiPriority w:val="99"/>
    <w:semiHidden/>
    <w:unhideWhenUsed/>
    <w:rsid w:val="00266115"/>
    <w:rPr>
      <w:color w:val="605E5C"/>
      <w:shd w:val="clear" w:color="auto" w:fill="E1DFDD"/>
    </w:rPr>
  </w:style>
  <w:style w:type="character" w:styleId="FollowedHyperlink">
    <w:name w:val="FollowedHyperlink"/>
    <w:basedOn w:val="DefaultParagraphFont"/>
    <w:uiPriority w:val="99"/>
    <w:semiHidden/>
    <w:unhideWhenUsed/>
    <w:rsid w:val="00266115"/>
    <w:rPr>
      <w:color w:val="E1C2E4" w:themeColor="followedHyperlink"/>
      <w:u w:val="single"/>
    </w:rPr>
  </w:style>
  <w:style w:type="character" w:styleId="PageNumber">
    <w:name w:val="page number"/>
    <w:basedOn w:val="DefaultParagraphFont"/>
    <w:uiPriority w:val="99"/>
    <w:semiHidden/>
    <w:unhideWhenUsed/>
    <w:rsid w:val="007F2D27"/>
  </w:style>
  <w:style w:type="character" w:styleId="Emphasis">
    <w:name w:val="Emphasis"/>
    <w:basedOn w:val="DefaultParagraphFont"/>
    <w:uiPriority w:val="20"/>
    <w:qFormat/>
    <w:rsid w:val="005C753D"/>
    <w:rPr>
      <w:i/>
      <w:iCs/>
    </w:rPr>
  </w:style>
  <w:style w:type="character" w:customStyle="1" w:styleId="apple-tab-span">
    <w:name w:val="apple-tab-span"/>
    <w:basedOn w:val="DefaultParagraphFont"/>
    <w:rsid w:val="00E4336F"/>
  </w:style>
  <w:style w:type="character" w:customStyle="1" w:styleId="UnresolvedMention2">
    <w:name w:val="Unresolved Mention2"/>
    <w:basedOn w:val="DefaultParagraphFont"/>
    <w:uiPriority w:val="99"/>
    <w:semiHidden/>
    <w:unhideWhenUsed/>
    <w:rsid w:val="0056444E"/>
    <w:rPr>
      <w:color w:val="605E5C"/>
      <w:shd w:val="clear" w:color="auto" w:fill="E1DFDD"/>
    </w:rPr>
  </w:style>
  <w:style w:type="character" w:styleId="CommentReference">
    <w:name w:val="annotation reference"/>
    <w:basedOn w:val="DefaultParagraphFont"/>
    <w:uiPriority w:val="99"/>
    <w:semiHidden/>
    <w:unhideWhenUsed/>
    <w:rsid w:val="004C4679"/>
    <w:rPr>
      <w:sz w:val="16"/>
      <w:szCs w:val="16"/>
    </w:rPr>
  </w:style>
  <w:style w:type="paragraph" w:styleId="CommentText">
    <w:name w:val="annotation text"/>
    <w:basedOn w:val="Normal"/>
    <w:link w:val="CommentTextChar"/>
    <w:uiPriority w:val="99"/>
    <w:semiHidden/>
    <w:unhideWhenUsed/>
    <w:rsid w:val="004C4679"/>
    <w:pPr>
      <w:spacing w:line="240" w:lineRule="auto"/>
    </w:pPr>
    <w:rPr>
      <w:sz w:val="20"/>
      <w:szCs w:val="20"/>
    </w:rPr>
  </w:style>
  <w:style w:type="character" w:customStyle="1" w:styleId="CommentTextChar">
    <w:name w:val="Comment Text Char"/>
    <w:basedOn w:val="DefaultParagraphFont"/>
    <w:link w:val="CommentText"/>
    <w:uiPriority w:val="99"/>
    <w:semiHidden/>
    <w:rsid w:val="004C4679"/>
    <w:rPr>
      <w:rFonts w:ascii="Arial" w:hAnsi="Arial"/>
      <w:color w:val="333333"/>
      <w:sz w:val="20"/>
      <w:szCs w:val="20"/>
    </w:rPr>
  </w:style>
  <w:style w:type="paragraph" w:styleId="CommentSubject">
    <w:name w:val="annotation subject"/>
    <w:basedOn w:val="CommentText"/>
    <w:next w:val="CommentText"/>
    <w:link w:val="CommentSubjectChar"/>
    <w:uiPriority w:val="99"/>
    <w:semiHidden/>
    <w:unhideWhenUsed/>
    <w:rsid w:val="004C4679"/>
    <w:rPr>
      <w:b/>
      <w:bCs/>
    </w:rPr>
  </w:style>
  <w:style w:type="character" w:customStyle="1" w:styleId="CommentSubjectChar">
    <w:name w:val="Comment Subject Char"/>
    <w:basedOn w:val="CommentTextChar"/>
    <w:link w:val="CommentSubject"/>
    <w:uiPriority w:val="99"/>
    <w:semiHidden/>
    <w:rsid w:val="004C4679"/>
    <w:rPr>
      <w:rFonts w:ascii="Arial" w:hAnsi="Arial"/>
      <w:b/>
      <w:bCs/>
      <w:color w:val="333333"/>
      <w:sz w:val="20"/>
      <w:szCs w:val="20"/>
    </w:rPr>
  </w:style>
  <w:style w:type="paragraph" w:styleId="Revision">
    <w:name w:val="Revision"/>
    <w:hidden/>
    <w:uiPriority w:val="99"/>
    <w:semiHidden/>
    <w:rsid w:val="00EB7057"/>
    <w:rPr>
      <w:rFonts w:ascii="Arial" w:hAnsi="Arial"/>
      <w:color w:val="333333"/>
      <w:sz w:val="22"/>
    </w:rPr>
  </w:style>
  <w:style w:type="character" w:styleId="UnresolvedMention">
    <w:name w:val="Unresolved Mention"/>
    <w:basedOn w:val="DefaultParagraphFont"/>
    <w:uiPriority w:val="99"/>
    <w:semiHidden/>
    <w:unhideWhenUsed/>
    <w:rsid w:val="00B4709F"/>
    <w:rPr>
      <w:color w:val="605E5C"/>
      <w:shd w:val="clear" w:color="auto" w:fill="E1DFDD"/>
    </w:rPr>
  </w:style>
  <w:style w:type="character" w:styleId="Strong">
    <w:name w:val="Strong"/>
    <w:basedOn w:val="DefaultParagraphFont"/>
    <w:uiPriority w:val="22"/>
    <w:qFormat/>
    <w:rsid w:val="00987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0651">
      <w:bodyDiv w:val="1"/>
      <w:marLeft w:val="0"/>
      <w:marRight w:val="0"/>
      <w:marTop w:val="0"/>
      <w:marBottom w:val="0"/>
      <w:divBdr>
        <w:top w:val="none" w:sz="0" w:space="0" w:color="auto"/>
        <w:left w:val="none" w:sz="0" w:space="0" w:color="auto"/>
        <w:bottom w:val="none" w:sz="0" w:space="0" w:color="auto"/>
        <w:right w:val="none" w:sz="0" w:space="0" w:color="auto"/>
      </w:divBdr>
    </w:div>
    <w:div w:id="424502298">
      <w:bodyDiv w:val="1"/>
      <w:marLeft w:val="0"/>
      <w:marRight w:val="0"/>
      <w:marTop w:val="0"/>
      <w:marBottom w:val="0"/>
      <w:divBdr>
        <w:top w:val="none" w:sz="0" w:space="0" w:color="auto"/>
        <w:left w:val="none" w:sz="0" w:space="0" w:color="auto"/>
        <w:bottom w:val="none" w:sz="0" w:space="0" w:color="auto"/>
        <w:right w:val="none" w:sz="0" w:space="0" w:color="auto"/>
      </w:divBdr>
    </w:div>
    <w:div w:id="471756248">
      <w:bodyDiv w:val="1"/>
      <w:marLeft w:val="0"/>
      <w:marRight w:val="0"/>
      <w:marTop w:val="0"/>
      <w:marBottom w:val="0"/>
      <w:divBdr>
        <w:top w:val="none" w:sz="0" w:space="0" w:color="auto"/>
        <w:left w:val="none" w:sz="0" w:space="0" w:color="auto"/>
        <w:bottom w:val="none" w:sz="0" w:space="0" w:color="auto"/>
        <w:right w:val="none" w:sz="0" w:space="0" w:color="auto"/>
      </w:divBdr>
    </w:div>
    <w:div w:id="626159267">
      <w:bodyDiv w:val="1"/>
      <w:marLeft w:val="0"/>
      <w:marRight w:val="0"/>
      <w:marTop w:val="0"/>
      <w:marBottom w:val="0"/>
      <w:divBdr>
        <w:top w:val="none" w:sz="0" w:space="0" w:color="auto"/>
        <w:left w:val="none" w:sz="0" w:space="0" w:color="auto"/>
        <w:bottom w:val="none" w:sz="0" w:space="0" w:color="auto"/>
        <w:right w:val="none" w:sz="0" w:space="0" w:color="auto"/>
      </w:divBdr>
    </w:div>
    <w:div w:id="639118549">
      <w:bodyDiv w:val="1"/>
      <w:marLeft w:val="0"/>
      <w:marRight w:val="0"/>
      <w:marTop w:val="0"/>
      <w:marBottom w:val="0"/>
      <w:divBdr>
        <w:top w:val="none" w:sz="0" w:space="0" w:color="auto"/>
        <w:left w:val="none" w:sz="0" w:space="0" w:color="auto"/>
        <w:bottom w:val="none" w:sz="0" w:space="0" w:color="auto"/>
        <w:right w:val="none" w:sz="0" w:space="0" w:color="auto"/>
      </w:divBdr>
    </w:div>
    <w:div w:id="969089440">
      <w:bodyDiv w:val="1"/>
      <w:marLeft w:val="0"/>
      <w:marRight w:val="0"/>
      <w:marTop w:val="0"/>
      <w:marBottom w:val="0"/>
      <w:divBdr>
        <w:top w:val="none" w:sz="0" w:space="0" w:color="auto"/>
        <w:left w:val="none" w:sz="0" w:space="0" w:color="auto"/>
        <w:bottom w:val="none" w:sz="0" w:space="0" w:color="auto"/>
        <w:right w:val="none" w:sz="0" w:space="0" w:color="auto"/>
      </w:divBdr>
    </w:div>
    <w:div w:id="1438674258">
      <w:bodyDiv w:val="1"/>
      <w:marLeft w:val="0"/>
      <w:marRight w:val="0"/>
      <w:marTop w:val="0"/>
      <w:marBottom w:val="0"/>
      <w:divBdr>
        <w:top w:val="none" w:sz="0" w:space="0" w:color="auto"/>
        <w:left w:val="none" w:sz="0" w:space="0" w:color="auto"/>
        <w:bottom w:val="none" w:sz="0" w:space="0" w:color="auto"/>
        <w:right w:val="none" w:sz="0" w:space="0" w:color="auto"/>
      </w:divBdr>
    </w:div>
    <w:div w:id="1595817193">
      <w:bodyDiv w:val="1"/>
      <w:marLeft w:val="0"/>
      <w:marRight w:val="0"/>
      <w:marTop w:val="0"/>
      <w:marBottom w:val="0"/>
      <w:divBdr>
        <w:top w:val="none" w:sz="0" w:space="0" w:color="auto"/>
        <w:left w:val="none" w:sz="0" w:space="0" w:color="auto"/>
        <w:bottom w:val="none" w:sz="0" w:space="0" w:color="auto"/>
        <w:right w:val="none" w:sz="0" w:space="0" w:color="auto"/>
      </w:divBdr>
    </w:div>
    <w:div w:id="1642881524">
      <w:bodyDiv w:val="1"/>
      <w:marLeft w:val="0"/>
      <w:marRight w:val="0"/>
      <w:marTop w:val="0"/>
      <w:marBottom w:val="0"/>
      <w:divBdr>
        <w:top w:val="none" w:sz="0" w:space="0" w:color="auto"/>
        <w:left w:val="none" w:sz="0" w:space="0" w:color="auto"/>
        <w:bottom w:val="none" w:sz="0" w:space="0" w:color="auto"/>
        <w:right w:val="none" w:sz="0" w:space="0" w:color="auto"/>
      </w:divBdr>
      <w:divsChild>
        <w:div w:id="48654209">
          <w:marLeft w:val="547"/>
          <w:marRight w:val="0"/>
          <w:marTop w:val="0"/>
          <w:marBottom w:val="0"/>
          <w:divBdr>
            <w:top w:val="none" w:sz="0" w:space="0" w:color="auto"/>
            <w:left w:val="none" w:sz="0" w:space="0" w:color="auto"/>
            <w:bottom w:val="none" w:sz="0" w:space="0" w:color="auto"/>
            <w:right w:val="none" w:sz="0" w:space="0" w:color="auto"/>
          </w:divBdr>
        </w:div>
        <w:div w:id="764308213">
          <w:marLeft w:val="547"/>
          <w:marRight w:val="0"/>
          <w:marTop w:val="0"/>
          <w:marBottom w:val="0"/>
          <w:divBdr>
            <w:top w:val="none" w:sz="0" w:space="0" w:color="auto"/>
            <w:left w:val="none" w:sz="0" w:space="0" w:color="auto"/>
            <w:bottom w:val="none" w:sz="0" w:space="0" w:color="auto"/>
            <w:right w:val="none" w:sz="0" w:space="0" w:color="auto"/>
          </w:divBdr>
        </w:div>
        <w:div w:id="97877163">
          <w:marLeft w:val="547"/>
          <w:marRight w:val="0"/>
          <w:marTop w:val="0"/>
          <w:marBottom w:val="0"/>
          <w:divBdr>
            <w:top w:val="none" w:sz="0" w:space="0" w:color="auto"/>
            <w:left w:val="none" w:sz="0" w:space="0" w:color="auto"/>
            <w:bottom w:val="none" w:sz="0" w:space="0" w:color="auto"/>
            <w:right w:val="none" w:sz="0" w:space="0" w:color="auto"/>
          </w:divBdr>
        </w:div>
        <w:div w:id="1373771206">
          <w:marLeft w:val="547"/>
          <w:marRight w:val="0"/>
          <w:marTop w:val="0"/>
          <w:marBottom w:val="0"/>
          <w:divBdr>
            <w:top w:val="none" w:sz="0" w:space="0" w:color="auto"/>
            <w:left w:val="none" w:sz="0" w:space="0" w:color="auto"/>
            <w:bottom w:val="none" w:sz="0" w:space="0" w:color="auto"/>
            <w:right w:val="none" w:sz="0" w:space="0" w:color="auto"/>
          </w:divBdr>
        </w:div>
      </w:divsChild>
    </w:div>
    <w:div w:id="1836988739">
      <w:bodyDiv w:val="1"/>
      <w:marLeft w:val="0"/>
      <w:marRight w:val="0"/>
      <w:marTop w:val="0"/>
      <w:marBottom w:val="0"/>
      <w:divBdr>
        <w:top w:val="none" w:sz="0" w:space="0" w:color="auto"/>
        <w:left w:val="none" w:sz="0" w:space="0" w:color="auto"/>
        <w:bottom w:val="none" w:sz="0" w:space="0" w:color="auto"/>
        <w:right w:val="none" w:sz="0" w:space="0" w:color="auto"/>
      </w:divBdr>
    </w:div>
    <w:div w:id="1926959030">
      <w:bodyDiv w:val="1"/>
      <w:marLeft w:val="0"/>
      <w:marRight w:val="0"/>
      <w:marTop w:val="0"/>
      <w:marBottom w:val="0"/>
      <w:divBdr>
        <w:top w:val="none" w:sz="0" w:space="0" w:color="auto"/>
        <w:left w:val="none" w:sz="0" w:space="0" w:color="auto"/>
        <w:bottom w:val="none" w:sz="0" w:space="0" w:color="auto"/>
        <w:right w:val="none" w:sz="0" w:space="0" w:color="auto"/>
      </w:divBdr>
    </w:div>
    <w:div w:id="1952202123">
      <w:bodyDiv w:val="1"/>
      <w:marLeft w:val="0"/>
      <w:marRight w:val="0"/>
      <w:marTop w:val="0"/>
      <w:marBottom w:val="0"/>
      <w:divBdr>
        <w:top w:val="none" w:sz="0" w:space="0" w:color="auto"/>
        <w:left w:val="none" w:sz="0" w:space="0" w:color="auto"/>
        <w:bottom w:val="none" w:sz="0" w:space="0" w:color="auto"/>
        <w:right w:val="none" w:sz="0" w:space="0" w:color="auto"/>
      </w:divBdr>
    </w:div>
    <w:div w:id="1990019330">
      <w:bodyDiv w:val="1"/>
      <w:marLeft w:val="0"/>
      <w:marRight w:val="0"/>
      <w:marTop w:val="0"/>
      <w:marBottom w:val="0"/>
      <w:divBdr>
        <w:top w:val="none" w:sz="0" w:space="0" w:color="auto"/>
        <w:left w:val="none" w:sz="0" w:space="0" w:color="auto"/>
        <w:bottom w:val="none" w:sz="0" w:space="0" w:color="auto"/>
        <w:right w:val="none" w:sz="0" w:space="0" w:color="auto"/>
      </w:divBdr>
    </w:div>
    <w:div w:id="2094281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neyaware.co.uk/2011/09/default-notices-what-are-they-and-what-do-they-me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hyperlink" Target="http://www.stepchange.org" TargetMode="External"/><Relationship Id="rId1" Type="http://schemas.openxmlformats.org/officeDocument/2006/relationships/image" Target="media/image2.jpg"/></Relationships>
</file>

<file path=word/theme/theme1.xml><?xml version="1.0" encoding="utf-8"?>
<a:theme xmlns:a="http://schemas.openxmlformats.org/drawingml/2006/main" name="Covers">
  <a:themeElements>
    <a:clrScheme name="SC Templates">
      <a:dk1>
        <a:srgbClr val="333333"/>
      </a:dk1>
      <a:lt1>
        <a:srgbClr val="FFFFFF"/>
      </a:lt1>
      <a:dk2>
        <a:srgbClr val="AAAAAA"/>
      </a:dk2>
      <a:lt2>
        <a:srgbClr val="EEEEEE"/>
      </a:lt2>
      <a:accent1>
        <a:srgbClr val="6B3374"/>
      </a:accent1>
      <a:accent2>
        <a:srgbClr val="E4541B"/>
      </a:accent2>
      <a:accent3>
        <a:srgbClr val="FFB600"/>
      </a:accent3>
      <a:accent4>
        <a:srgbClr val="057EAB"/>
      </a:accent4>
      <a:accent5>
        <a:srgbClr val="AFC82B"/>
      </a:accent5>
      <a:accent6>
        <a:srgbClr val="DF4BDA"/>
      </a:accent6>
      <a:hlink>
        <a:srgbClr val="6B3374"/>
      </a:hlink>
      <a:folHlink>
        <a:srgbClr val="E1C2E4"/>
      </a:folHlink>
    </a:clrScheme>
    <a:fontScheme name="Spectrum">
      <a:majorFont>
        <a:latin typeface="Corbel"/>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C90E3-B0E0-4A10-8E1C-6FD6873D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StepChange General Branded</vt:lpstr>
    </vt:vector>
  </TitlesOfParts>
  <Company>Spiral Brand Communications</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StepChange General Branded</dc:title>
  <dc:creator>Jenny</dc:creator>
  <cp:lastModifiedBy>Harriet Hey</cp:lastModifiedBy>
  <cp:revision>2</cp:revision>
  <cp:lastPrinted>2019-09-10T09:10:00Z</cp:lastPrinted>
  <dcterms:created xsi:type="dcterms:W3CDTF">2022-04-07T14:23:00Z</dcterms:created>
  <dcterms:modified xsi:type="dcterms:W3CDTF">2022-04-07T14:23:00Z</dcterms:modified>
  <cp:category>Brand template</cp:category>
</cp:coreProperties>
</file>